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bidi/>
        <w:spacing w:after="60"/>
        <w:jc w:val="right"/>
      </w:pPr>
      <w:r>
        <w:rPr>
          <w:rFonts w:ascii="Arial" w:cs="Arial" w:eastAsia="Arial" w:hAnsi="Arial"/>
          <w:b/>
          <w:bCs/>
          <w:sz w:val="32"/>
          <w:szCs w:val="32"/>
          <w:rtl/>
          <w:lang w:val="he-IL" w:bidi="he-IL"/>
        </w:rPr>
        <w:t xml:space="preserve">טבלה מרכזת – תרופות למחלות ריאה ודרכי אוויר בישראל</w:t>
      </w:r>
    </w:p>
    <w:p>
      <w:pPr>
        <w:bidi/>
        <w:spacing w:after="20"/>
        <w:jc w:val="right"/>
      </w:pPr>
      <w:r>
        <w:rPr>
          <w:rFonts w:ascii="Arial" w:cs="Arial" w:eastAsia="Arial" w:hAnsi="Arial"/>
          <w:sz w:val="18"/>
          <w:szCs w:val="18"/>
          <w:rtl/>
          <w:lang w:val="he-IL" w:bidi="he-IL"/>
        </w:rPr>
        <w:t xml:space="preserve">מבוסס על טבלת ד"ר יבגני גרשמן (21.10.2026). עודכן מול מאגר התרופות של משרד הבריאות (21.10.2026) ומחירון תכשירי המרשם (30.06.26).</w:t>
      </w:r>
    </w:p>
    <w:p>
      <w:pPr>
        <w:bidi/>
        <w:spacing w:after="20"/>
        <w:jc w:val="right"/>
      </w:pPr>
      <w:r>
        <w:rPr>
          <w:rFonts w:ascii="Arial" w:cs="Arial" w:eastAsia="Arial" w:hAnsi="Arial"/>
          <w:sz w:val="16"/>
          <w:szCs w:val="16"/>
          <w:rtl/>
          <w:lang w:val="he-IL" w:bidi="he-IL"/>
        </w:rPr>
        <w:t xml:space="preserve">ש"מ – מכבי זהב / מכבי שלי: תרופה שאינה בסל, או בסל אך לא להתוויה המבוקשת – באישור מראש; השתתפות 472.97 ₪ לתרופה לחודש, תקרה 945.94 ₪ ל-2 תרופות ומעלה.</w:t>
      </w:r>
    </w:p>
    <w:p>
      <w:pPr>
        <w:bidi/>
        <w:spacing w:after="20"/>
        <w:jc w:val="right"/>
      </w:pPr>
      <w:r>
        <w:rPr>
          <w:rFonts w:ascii="Arial" w:cs="Arial" w:eastAsia="Arial" w:hAnsi="Arial"/>
          <w:sz w:val="16"/>
          <w:szCs w:val="16"/>
          <w:rtl/>
          <w:lang w:val="he-IL" w:bidi="he-IL"/>
        </w:rPr>
        <w:t xml:space="preserve">ש"כ – כללית מושלם / פלטינום: לתרופות שברשימת השב"ן – 50% השתתפות, תקרה 369.64 ₪ לאריזה ו-739.29 ₪ לחודש; מוחרגות תרופות אונקולוגיות, תרופות יתום, תרופות לאיידס וחיסונים.</w:t>
      </w:r>
    </w:p>
    <w:p>
      <w:pPr>
        <w:bidi/>
        <w:spacing w:after="20"/>
        <w:jc w:val="right"/>
      </w:pPr>
      <w:r>
        <w:rPr>
          <w:rFonts w:ascii="Arial" w:cs="Arial" w:eastAsia="Arial" w:hAnsi="Arial"/>
          <w:sz w:val="16"/>
          <w:szCs w:val="16"/>
          <w:rtl/>
          <w:lang w:val="he-IL" w:bidi="he-IL"/>
        </w:rPr>
        <w:t xml:space="preserve">מאוחדת עדיף/שיא ולאומית כסף/זהב. התנאים והתקרות לפי תקנון הקופה.</w:t>
      </w:r>
    </w:p>
    <w:p>
      <w:pPr>
        <w:bidi/>
        <w:spacing w:after="20"/>
        <w:jc w:val="right"/>
      </w:pPr>
      <w:r>
        <w:rPr>
          <w:rFonts w:ascii="Arial" w:cs="Arial" w:eastAsia="Arial" w:hAnsi="Arial"/>
          <w:sz w:val="16"/>
          <w:szCs w:val="16"/>
          <w:rtl/>
          <w:lang w:val="he-IL" w:bidi="he-IL"/>
        </w:rPr>
        <w:t xml:space="preserve">* תנאי הסל לביולוגיים (ספי אאוזינופילים, החמרות, מסלולי סטרואידים פומיים) שונים בין התכשירים ומפורטים בכל תכשיר בנפרד, לפי הנוסח העדכני במאגר.</w:t>
      </w:r>
    </w:p>
    <w:p>
      <w:pPr>
        <w:bidi/>
        <w:spacing w:after="20"/>
        <w:jc w:val="right"/>
      </w:pPr>
      <w:r>
        <w:rPr>
          <w:rFonts w:ascii="Arial" w:cs="Arial" w:eastAsia="Arial" w:hAnsi="Arial"/>
          <w:sz w:val="16"/>
          <w:szCs w:val="16"/>
          <w:rtl/>
          <w:lang w:val="he-IL" w:bidi="he-IL"/>
        </w:rPr>
        <w:t xml:space="preserve">מינון מועבר מול מינון נשאף: במשאפים מצוינות לעיתים שתי כמויות לאותו תכשיר – המינון שמשתחרר מהמיכל/המנגנון (metered) והמינון שמגיע בפועל מהצמצם אל המטופל (delivered). לכן אותו משאף יכול להופיע במינונים שונים לפי המקור, למשל Trimbow 100/6/12.5 (metered) מופיע גם כ-87/5/9 (delivered), ו-Trimbow 200/6/12.5 מופיע גם כ-172/5/9. בטבלה מצוין המינון כפי שמופיע בעלון הישראלי. יש לבדוק בעלון של כל תכשיר.</w:t>
      </w:r>
    </w:p>
    <w:p>
      <w:pPr>
        <w:bidi/>
        <w:spacing w:after="20"/>
        <w:jc w:val="right"/>
      </w:pPr>
      <w:r>
        <w:rPr>
          <w:rFonts w:ascii="Arial" w:cs="Arial" w:eastAsia="Arial" w:hAnsi="Arial"/>
          <w:sz w:val="16"/>
          <w:szCs w:val="16"/>
          <w:rtl/>
          <w:lang w:val="he-IL" w:bidi="he-IL"/>
        </w:rPr>
        <w:t xml:space="preserve">מחיר: מחיר מרבי לצרכן לאריזה לפי מחירון משרד הבריאות, לא עלות חודשית. מחיר בפועל בקופה עשוי להיות שונה.</w:t>
      </w:r>
    </w:p>
    <w:p>
      <w:pPr>
        <w:spacing w:after="80"/>
      </w:pPr>
    </w:p>
    <w:tbl>
      <w:tblPr>
        <w:bidiVisual/>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2700"/>
        <w:gridCol w:w="3000"/>
        <w:gridCol w:w="2800"/>
        <w:gridCol w:w="1900"/>
        <w:gridCol w:w="2400"/>
        <w:gridCol w:w="2598"/>
      </w:tblGrid>
      <w:tr>
        <w:trPr>
          <w:cantSplit/>
          <w:tblHeader/>
        </w:trPr>
        <w:tc>
          <w:tcPr>
            <w:tcW w:type="dxa" w:w="2700"/>
            <w:tcBorders>
              <w:top w:val="single" w:color="A6A6A6" w:sz="4"/>
              <w:left w:val="single" w:color="A6A6A6" w:sz="4"/>
              <w:bottom w:val="single" w:color="A6A6A6" w:sz="4"/>
              <w:right w:val="single" w:color="A6A6A6" w:sz="4"/>
            </w:tcBorders>
            <w:shd w:fill="1F3864" w:color="auto" w:val="clear"/>
            <w:tcMar>
              <w:top w:type="dxa" w:w="50"/>
              <w:left w:type="dxa" w:w="80"/>
              <w:bottom w:type="dxa" w:w="50"/>
              <w:right w:type="dxa" w:w="80"/>
            </w:tcMar>
          </w:tcPr>
          <w:p>
            <w:pPr>
              <w:bidi/>
              <w:spacing w:after="20"/>
              <w:jc w:val="center"/>
            </w:pPr>
            <w:r>
              <w:rPr>
                <w:rFonts w:ascii="Arial" w:cs="Arial" w:eastAsia="Arial" w:hAnsi="Arial"/>
                <w:b/>
                <w:bCs/>
                <w:color w:val="FFFFFF"/>
                <w:sz w:val="17"/>
                <w:szCs w:val="17"/>
                <w:rtl/>
                <w:lang w:val="he-IL" w:bidi="he-IL"/>
              </w:rPr>
              <w:t xml:space="preserve">שם התרופה ומינונים מקובלים</w:t>
            </w:r>
          </w:p>
        </w:tc>
        <w:tc>
          <w:tcPr>
            <w:tcW w:type="dxa" w:w="3000"/>
            <w:tcBorders>
              <w:top w:val="single" w:color="A6A6A6" w:sz="4"/>
              <w:left w:val="single" w:color="A6A6A6" w:sz="4"/>
              <w:bottom w:val="single" w:color="A6A6A6" w:sz="4"/>
              <w:right w:val="single" w:color="A6A6A6" w:sz="4"/>
            </w:tcBorders>
            <w:shd w:fill="1F3864" w:color="auto" w:val="clear"/>
            <w:tcMar>
              <w:top w:type="dxa" w:w="50"/>
              <w:left w:type="dxa" w:w="80"/>
              <w:bottom w:type="dxa" w:w="50"/>
              <w:right w:type="dxa" w:w="80"/>
            </w:tcMar>
          </w:tcPr>
          <w:p>
            <w:pPr>
              <w:bidi/>
              <w:spacing w:after="20"/>
              <w:jc w:val="center"/>
            </w:pPr>
            <w:r>
              <w:rPr>
                <w:rFonts w:ascii="Arial" w:cs="Arial" w:eastAsia="Arial" w:hAnsi="Arial"/>
                <w:b/>
                <w:bCs/>
                <w:color w:val="FFFFFF"/>
                <w:sz w:val="17"/>
                <w:szCs w:val="17"/>
                <w:rtl/>
                <w:lang w:val="he-IL" w:bidi="he-IL"/>
              </w:rPr>
              <w:t xml:space="preserve">התוויות רשומות (משרד הבריאות)</w:t>
            </w:r>
          </w:p>
        </w:tc>
        <w:tc>
          <w:tcPr>
            <w:tcW w:type="dxa" w:w="2800"/>
            <w:tcBorders>
              <w:top w:val="single" w:color="A6A6A6" w:sz="4"/>
              <w:left w:val="single" w:color="A6A6A6" w:sz="4"/>
              <w:bottom w:val="single" w:color="A6A6A6" w:sz="4"/>
              <w:right w:val="single" w:color="A6A6A6" w:sz="4"/>
            </w:tcBorders>
            <w:shd w:fill="1F3864" w:color="auto" w:val="clear"/>
            <w:tcMar>
              <w:top w:type="dxa" w:w="50"/>
              <w:left w:type="dxa" w:w="80"/>
              <w:bottom w:type="dxa" w:w="50"/>
              <w:right w:type="dxa" w:w="80"/>
            </w:tcMar>
          </w:tcPr>
          <w:p>
            <w:pPr>
              <w:bidi/>
              <w:spacing w:after="20"/>
              <w:jc w:val="center"/>
            </w:pPr>
            <w:r>
              <w:rPr>
                <w:rFonts w:ascii="Arial" w:cs="Arial" w:eastAsia="Arial" w:hAnsi="Arial"/>
                <w:b/>
                <w:bCs/>
                <w:color w:val="FFFFFF"/>
                <w:sz w:val="17"/>
                <w:szCs w:val="17"/>
                <w:rtl/>
                <w:lang w:val="he-IL" w:bidi="he-IL"/>
              </w:rPr>
              <w:t xml:space="preserve">זכאות לפי סל הבריאות</w:t>
            </w:r>
          </w:p>
        </w:tc>
        <w:tc>
          <w:tcPr>
            <w:tcW w:type="dxa" w:w="1900"/>
            <w:tcBorders>
              <w:top w:val="single" w:color="A6A6A6" w:sz="4"/>
              <w:left w:val="single" w:color="A6A6A6" w:sz="4"/>
              <w:bottom w:val="single" w:color="A6A6A6" w:sz="4"/>
              <w:right w:val="single" w:color="A6A6A6" w:sz="4"/>
            </w:tcBorders>
            <w:shd w:fill="1F3864" w:color="auto" w:val="clear"/>
            <w:tcMar>
              <w:top w:type="dxa" w:w="50"/>
              <w:left w:type="dxa" w:w="80"/>
              <w:bottom w:type="dxa" w:w="50"/>
              <w:right w:type="dxa" w:w="80"/>
            </w:tcMar>
          </w:tcPr>
          <w:p>
            <w:pPr>
              <w:bidi/>
              <w:spacing w:after="20"/>
              <w:jc w:val="center"/>
            </w:pPr>
            <w:r>
              <w:rPr>
                <w:rFonts w:ascii="Arial" w:cs="Arial" w:eastAsia="Arial" w:hAnsi="Arial"/>
                <w:b/>
                <w:bCs/>
                <w:color w:val="FFFFFF"/>
                <w:sz w:val="17"/>
                <w:szCs w:val="17"/>
                <w:rtl/>
                <w:lang w:val="he-IL" w:bidi="he-IL"/>
              </w:rPr>
              <w:t xml:space="preserve">מי רשאי לרשום (לפי סעיפי הסל)</w:t>
            </w:r>
          </w:p>
        </w:tc>
        <w:tc>
          <w:tcPr>
            <w:tcW w:type="dxa" w:w="2400"/>
            <w:tcBorders>
              <w:top w:val="single" w:color="A6A6A6" w:sz="4"/>
              <w:left w:val="single" w:color="A6A6A6" w:sz="4"/>
              <w:bottom w:val="single" w:color="A6A6A6" w:sz="4"/>
              <w:right w:val="single" w:color="A6A6A6" w:sz="4"/>
            </w:tcBorders>
            <w:shd w:fill="1F3864" w:color="auto" w:val="clear"/>
            <w:tcMar>
              <w:top w:type="dxa" w:w="50"/>
              <w:left w:type="dxa" w:w="80"/>
              <w:bottom w:type="dxa" w:w="50"/>
              <w:right w:type="dxa" w:w="80"/>
            </w:tcMar>
          </w:tcPr>
          <w:p>
            <w:pPr>
              <w:bidi/>
              <w:spacing w:after="20"/>
              <w:jc w:val="center"/>
            </w:pPr>
            <w:r>
              <w:rPr>
                <w:rFonts w:ascii="Arial" w:cs="Arial" w:eastAsia="Arial" w:hAnsi="Arial"/>
                <w:b/>
                <w:bCs/>
                <w:color w:val="FFFFFF"/>
                <w:sz w:val="17"/>
                <w:szCs w:val="17"/>
                <w:rtl/>
                <w:lang w:val="he-IL" w:bidi="he-IL"/>
              </w:rPr>
              <w:t xml:space="preserve">הגבלות שב"ן וביטוח פרטי</w:t>
            </w:r>
          </w:p>
        </w:tc>
        <w:tc>
          <w:tcPr>
            <w:tcW w:type="dxa" w:w="2598"/>
            <w:tcBorders>
              <w:top w:val="single" w:color="A6A6A6" w:sz="4"/>
              <w:left w:val="single" w:color="A6A6A6" w:sz="4"/>
              <w:bottom w:val="single" w:color="A6A6A6" w:sz="4"/>
              <w:right w:val="single" w:color="A6A6A6" w:sz="4"/>
            </w:tcBorders>
            <w:shd w:fill="1F3864" w:color="auto" w:val="clear"/>
            <w:tcMar>
              <w:top w:type="dxa" w:w="50"/>
              <w:left w:type="dxa" w:w="80"/>
              <w:bottom w:type="dxa" w:w="50"/>
              <w:right w:type="dxa" w:w="80"/>
            </w:tcMar>
          </w:tcPr>
          <w:p>
            <w:pPr>
              <w:bidi/>
              <w:spacing w:after="20"/>
              <w:jc w:val="center"/>
            </w:pPr>
            <w:r>
              <w:rPr>
                <w:rFonts w:ascii="Arial" w:cs="Arial" w:eastAsia="Arial" w:hAnsi="Arial"/>
                <w:b/>
                <w:bCs/>
                <w:color w:val="FFFFFF"/>
                <w:sz w:val="17"/>
                <w:szCs w:val="17"/>
                <w:rtl/>
                <w:lang w:val="he-IL" w:bidi="he-IL"/>
              </w:rPr>
              <w:t xml:space="preserve">מחיר מרבי לצרכן לאריזה, כולל מע"מ (מחירון 30.06.26), וחברה</w:t>
            </w:r>
          </w:p>
        </w:tc>
      </w:tr>
      <w:tr>
        <w:trPr>
          <w:cantSplit/>
        </w:trPr>
        <w:tc>
          <w:tcPr>
            <w:tcW w:type="dxa" w:w="15398"/>
            <w:gridSpan w:val="6"/>
            <w:tcBorders>
              <w:top w:val="single" w:color="A6A6A6" w:sz="4"/>
              <w:left w:val="single" w:color="A6A6A6" w:sz="4"/>
              <w:bottom w:val="single" w:color="A6A6A6" w:sz="4"/>
              <w:right w:val="single" w:color="A6A6A6" w:sz="4"/>
            </w:tcBorders>
            <w:shd w:fill="D9E2F3" w:color="auto" w:val="clear"/>
            <w:tcMar>
              <w:top w:type="dxa" w:w="50"/>
              <w:left w:type="dxa" w:w="80"/>
              <w:bottom w:type="dxa" w:w="50"/>
              <w:right w:type="dxa" w:w="80"/>
            </w:tcMar>
          </w:tcPr>
          <w:p>
            <w:pPr>
              <w:bidi/>
              <w:spacing w:after="20"/>
              <w:jc w:val="right"/>
            </w:pPr>
            <w:r>
              <w:rPr>
                <w:rFonts w:ascii="Arial" w:cs="Arial" w:eastAsia="Arial" w:hAnsi="Arial"/>
                <w:b/>
                <w:bCs/>
                <w:sz w:val="19"/>
                <w:szCs w:val="19"/>
                <w:rtl/>
                <w:lang w:val="he-IL" w:bidi="he-IL"/>
              </w:rPr>
              <w:t xml:space="preserve">א. משאפי MDI (תרסיס מדוד) – מומלץ לצרף מרשם לספייסר (עם מסכה במידת הצורך)</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Ventolin Inhaler CFC free (Salbutamol 100 mcg)</w:t>
            </w:r>
          </w:p>
          <w:p>
            <w:pPr>
              <w:bidi/>
              <w:spacing w:after="20"/>
              <w:jc w:val="right"/>
            </w:pPr>
            <w:r>
              <w:rPr>
                <w:rFonts w:ascii="Arial" w:cs="Arial" w:eastAsia="Arial" w:hAnsi="Arial"/>
                <w:sz w:val="17"/>
                <w:szCs w:val="17"/>
                <w:rtl/>
                <w:lang w:val="he-IL" w:bidi="he-IL"/>
              </w:rPr>
              <w:t xml:space="preserve">2–8 נשיפות/יום לפי הצורך (PRN)</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SABA: הקלה בברונכוספזם באסתמה וב-COPD; מניעת ברונכוספזם במאמץ.</w:t>
            </w:r>
          </w:p>
          <w:p>
            <w:pPr>
              <w:bidi/>
              <w:spacing w:after="20"/>
              <w:jc w:val="right"/>
            </w:pPr>
            <w:r>
              <w:rPr>
                <w:rFonts w:ascii="Arial" w:cs="Arial" w:eastAsia="Arial" w:hAnsi="Arial"/>
                <w:sz w:val="17"/>
                <w:szCs w:val="17"/>
                <w:rtl/>
                <w:lang w:val="he-IL" w:bidi="he-IL"/>
              </w:rPr>
              <w:t xml:space="preserve">במחסור – חלופה גנרית רשומה: Salbutrim (טרימה), ראו שורה הבאה. במאגר (21.10.2026) לא נמצאו עוד משאפי סלבוטמול רשומים. לנבולייזר: Ventolin Respirator Solution (בסל) או Salbutec (סם-און, לא בסל)</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כל רופא (מרשם)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18.74 ₪ (200 נשיפות)</w:t>
            </w:r>
          </w:p>
          <w:p>
            <w:pPr>
              <w:bidi/>
              <w:spacing w:after="20"/>
              <w:jc w:val="right"/>
            </w:pPr>
            <w:r>
              <w:rPr>
                <w:rFonts w:ascii="Arial" w:cs="Arial" w:eastAsia="Arial" w:hAnsi="Arial"/>
                <w:sz w:val="17"/>
                <w:szCs w:val="17"/>
                <w:rtl/>
                <w:lang w:val="he-IL" w:bidi="he-IL"/>
              </w:rPr>
              <w:t xml:space="preserve">חברה: ג.ס.ק</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Salbutrim Inhaler CFC free (Salbutamol 100 mcg)</w:t>
            </w:r>
          </w:p>
          <w:p>
            <w:pPr>
              <w:bidi/>
              <w:spacing w:after="20"/>
              <w:jc w:val="right"/>
            </w:pPr>
            <w:r>
              <w:rPr>
                <w:rFonts w:ascii="Arial" w:cs="Arial" w:eastAsia="Arial" w:hAnsi="Arial"/>
                <w:sz w:val="17"/>
                <w:szCs w:val="17"/>
                <w:rtl/>
                <w:lang w:val="he-IL" w:bidi="he-IL"/>
              </w:rPr>
              <w:t xml:space="preserve">1–8 נשיפות/יום לפי הצורך (PRN)</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SABA: גנרי של ונטולין (חלופה במחסור)</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כל רופא (מרשם)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18.74 ₪ (200 נשיפות)</w:t>
            </w:r>
          </w:p>
          <w:p>
            <w:pPr>
              <w:bidi/>
              <w:spacing w:after="20"/>
              <w:jc w:val="right"/>
            </w:pPr>
            <w:r>
              <w:rPr>
                <w:rFonts w:ascii="Arial" w:cs="Arial" w:eastAsia="Arial" w:hAnsi="Arial"/>
                <w:sz w:val="17"/>
                <w:szCs w:val="17"/>
                <w:rtl/>
                <w:lang w:val="he-IL" w:bidi="he-IL"/>
              </w:rPr>
              <w:t xml:space="preserve">חברה: תרימה</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Atrovent (Ipratropium 20 mcg)</w:t>
            </w:r>
          </w:p>
          <w:p>
            <w:pPr>
              <w:bidi/>
              <w:spacing w:after="20"/>
              <w:jc w:val="right"/>
            </w:pPr>
            <w:r>
              <w:rPr>
                <w:rFonts w:ascii="Arial" w:cs="Arial" w:eastAsia="Arial" w:hAnsi="Arial"/>
                <w:sz w:val="17"/>
                <w:szCs w:val="17"/>
                <w:rtl/>
                <w:lang w:val="he-IL" w:bidi="he-IL"/>
              </w:rPr>
              <w:t xml:space="preserve">1–12 נשיפות/יום לפי הצורך (PRN)</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SAMA: ברונכוספזם ב-COPD; תוספת בהתקף אסתמה</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כל רופא (מרשם)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מופיע במחירון</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Ipratrim (Ipratropium 20 mcg)</w:t>
            </w:r>
          </w:p>
          <w:p>
            <w:pPr>
              <w:bidi/>
              <w:spacing w:after="20"/>
              <w:jc w:val="right"/>
            </w:pPr>
            <w:r>
              <w:rPr>
                <w:rFonts w:ascii="Arial" w:cs="Arial" w:eastAsia="Arial" w:hAnsi="Arial"/>
                <w:sz w:val="17"/>
                <w:szCs w:val="17"/>
                <w:rtl/>
                <w:lang w:val="he-IL" w:bidi="he-IL"/>
              </w:rPr>
              <w:t xml:space="preserve">1–12 נשיפות/יום לפי הצורך (PRN)</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SAMA: כמו אטרובנט</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כל רופא (מרשם)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23.80 ₪ (200 נשיפות)</w:t>
            </w:r>
          </w:p>
          <w:p>
            <w:pPr>
              <w:bidi/>
              <w:spacing w:after="20"/>
              <w:jc w:val="right"/>
            </w:pPr>
            <w:r>
              <w:rPr>
                <w:rFonts w:ascii="Arial" w:cs="Arial" w:eastAsia="Arial" w:hAnsi="Arial"/>
                <w:sz w:val="17"/>
                <w:szCs w:val="17"/>
                <w:rtl/>
                <w:lang w:val="he-IL" w:bidi="he-IL"/>
              </w:rPr>
              <w:t xml:space="preserve">חברה: תרימה</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Serevent Inhaler CFC free (Salmeterol 25 mcg)</w:t>
            </w:r>
          </w:p>
          <w:p>
            <w:pPr>
              <w:bidi/>
              <w:spacing w:after="20"/>
              <w:jc w:val="right"/>
            </w:pPr>
            <w:r>
              <w:rPr>
                <w:rFonts w:ascii="Arial" w:cs="Arial" w:eastAsia="Arial" w:hAnsi="Arial"/>
                <w:sz w:val="17"/>
                <w:szCs w:val="17"/>
                <w:rtl/>
                <w:lang w:val="he-IL" w:bidi="he-IL"/>
              </w:rPr>
              <w:t xml:space="preserve">פעמיים ביום (BID)</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LABA: אסתמה (רק בשילוב ICS); COPD</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כל רופא (מרשם)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88.84 ₪ (120 נשיפות)</w:t>
            </w:r>
          </w:p>
          <w:p>
            <w:pPr>
              <w:bidi/>
              <w:spacing w:after="20"/>
              <w:jc w:val="right"/>
            </w:pPr>
            <w:r>
              <w:rPr>
                <w:rFonts w:ascii="Arial" w:cs="Arial" w:eastAsia="Arial" w:hAnsi="Arial"/>
                <w:sz w:val="17"/>
                <w:szCs w:val="17"/>
                <w:rtl/>
                <w:lang w:val="he-IL" w:bidi="he-IL"/>
              </w:rPr>
              <w:t xml:space="preserve">חברה: ג.ס.ק</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Qvar Aerosol / Qvar Autohaler (Beclomethasone 100 mcg)</w:t>
            </w:r>
          </w:p>
          <w:p>
            <w:pPr>
              <w:bidi/>
              <w:spacing w:after="20"/>
              <w:jc w:val="right"/>
            </w:pPr>
            <w:r>
              <w:rPr>
                <w:rFonts w:ascii="Arial" w:cs="Arial" w:eastAsia="Arial" w:hAnsi="Arial"/>
                <w:sz w:val="17"/>
                <w:szCs w:val="17"/>
                <w:rtl/>
                <w:lang w:val="he-IL" w:bidi="he-IL"/>
              </w:rPr>
              <w:t xml:space="preserve">Aerosol: BID; Autohaler: 100–400 mcg פעם או פעמיים ביום</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ICS: טיפול אחזקה באסתמה. Autohaler מופעל בשאיפה</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כל רופא (מרשם)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89.65 ₪ (200 נשיפות)</w:t>
            </w:r>
          </w:p>
          <w:p>
            <w:pPr>
              <w:bidi/>
              <w:spacing w:after="20"/>
              <w:jc w:val="right"/>
            </w:pPr>
            <w:r>
              <w:rPr>
                <w:rFonts w:ascii="Arial" w:cs="Arial" w:eastAsia="Arial" w:hAnsi="Arial"/>
                <w:sz w:val="17"/>
                <w:szCs w:val="17"/>
                <w:rtl/>
                <w:lang w:val="he-IL" w:bidi="he-IL"/>
              </w:rPr>
              <w:t xml:space="preserve">חברה: טבע</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Flixotide Inhaler CFC free (Fluticasone propionate 50, 125, 250 mcg)</w:t>
            </w:r>
          </w:p>
          <w:p>
            <w:pPr>
              <w:bidi/>
              <w:spacing w:after="20"/>
              <w:jc w:val="right"/>
            </w:pPr>
            <w:r>
              <w:rPr>
                <w:rFonts w:ascii="Arial" w:cs="Arial" w:eastAsia="Arial" w:hAnsi="Arial"/>
                <w:sz w:val="17"/>
                <w:szCs w:val="17"/>
                <w:rtl/>
                <w:lang w:val="he-IL" w:bidi="he-IL"/>
              </w:rPr>
              <w:t xml:space="preserve">100–1000 mcg BID; 50 ו-125 – אסתמה בלבד</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ICS: אסתמה; COPD (250 בלבד)</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כל רופא (מרשם)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50: 45.77 ₪</w:t>
            </w:r>
          </w:p>
          <w:p>
            <w:pPr>
              <w:bidi/>
              <w:spacing w:after="20"/>
              <w:jc w:val="right"/>
            </w:pPr>
            <w:r>
              <w:rPr>
                <w:rFonts w:ascii="Arial" w:cs="Arial" w:eastAsia="Arial" w:hAnsi="Arial"/>
                <w:sz w:val="17"/>
                <w:szCs w:val="17"/>
                <w:rtl/>
                <w:lang w:val="he-IL" w:bidi="he-IL"/>
              </w:rPr>
              <w:t xml:space="preserve">125: 102.40 ₪</w:t>
            </w:r>
          </w:p>
          <w:p>
            <w:pPr>
              <w:bidi/>
              <w:spacing w:after="20"/>
              <w:jc w:val="right"/>
            </w:pPr>
            <w:r>
              <w:rPr>
                <w:rFonts w:ascii="Arial" w:cs="Arial" w:eastAsia="Arial" w:hAnsi="Arial"/>
                <w:sz w:val="17"/>
                <w:szCs w:val="17"/>
                <w:rtl/>
                <w:lang w:val="he-IL" w:bidi="he-IL"/>
              </w:rPr>
              <w:t xml:space="preserve">250: 125.44 ₪</w:t>
            </w:r>
          </w:p>
          <w:p>
            <w:pPr>
              <w:bidi/>
              <w:spacing w:after="20"/>
              <w:jc w:val="right"/>
            </w:pPr>
            <w:r>
              <w:rPr>
                <w:rFonts w:ascii="Arial" w:cs="Arial" w:eastAsia="Arial" w:hAnsi="Arial"/>
                <w:sz w:val="17"/>
                <w:szCs w:val="17"/>
                <w:rtl/>
                <w:lang w:val="he-IL" w:bidi="he-IL"/>
              </w:rPr>
              <w:t xml:space="preserve">(120 נשיפות)</w:t>
            </w:r>
          </w:p>
          <w:p>
            <w:pPr>
              <w:bidi/>
              <w:spacing w:after="20"/>
              <w:jc w:val="right"/>
            </w:pPr>
            <w:r>
              <w:rPr>
                <w:rFonts w:ascii="Arial" w:cs="Arial" w:eastAsia="Arial" w:hAnsi="Arial"/>
                <w:sz w:val="17"/>
                <w:szCs w:val="17"/>
                <w:rtl/>
                <w:lang w:val="he-IL" w:bidi="he-IL"/>
              </w:rPr>
              <w:t xml:space="preserve">חברה: ג.ס.ק</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Foster (Beclomethasone/Formoterol 100/6, 200/6 mcg)</w:t>
            </w:r>
          </w:p>
          <w:p>
            <w:pPr>
              <w:bidi/>
              <w:spacing w:after="20"/>
              <w:jc w:val="right"/>
            </w:pPr>
            <w:r>
              <w:rPr>
                <w:rFonts w:ascii="Arial" w:cs="Arial" w:eastAsia="Arial" w:hAnsi="Arial"/>
                <w:sz w:val="17"/>
                <w:szCs w:val="17"/>
                <w:rtl/>
                <w:lang w:val="he-IL" w:bidi="he-IL"/>
              </w:rPr>
              <w:t xml:space="preserve">BID; 200/6 – אינו מותווה ל-MART</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ICS/LABA: אסתמה (אחזקה; MART ב-100/6 בלבד); COPD</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כל רופא (מרשם)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100/6: 134.40 ₪</w:t>
            </w:r>
          </w:p>
          <w:p>
            <w:pPr>
              <w:bidi/>
              <w:spacing w:after="20"/>
              <w:jc w:val="right"/>
            </w:pPr>
            <w:r>
              <w:rPr>
                <w:rFonts w:ascii="Arial" w:cs="Arial" w:eastAsia="Arial" w:hAnsi="Arial"/>
                <w:sz w:val="17"/>
                <w:szCs w:val="17"/>
                <w:rtl/>
                <w:lang w:val="he-IL" w:bidi="he-IL"/>
              </w:rPr>
              <w:t xml:space="preserve">200/6: 135.36 ₪</w:t>
            </w:r>
          </w:p>
          <w:p>
            <w:pPr>
              <w:bidi/>
              <w:spacing w:after="20"/>
              <w:jc w:val="right"/>
            </w:pPr>
            <w:r>
              <w:rPr>
                <w:rFonts w:ascii="Arial" w:cs="Arial" w:eastAsia="Arial" w:hAnsi="Arial"/>
                <w:sz w:val="17"/>
                <w:szCs w:val="17"/>
                <w:rtl/>
                <w:lang w:val="he-IL" w:bidi="he-IL"/>
              </w:rPr>
              <w:t xml:space="preserve">(120 נשיפות)</w:t>
            </w:r>
          </w:p>
          <w:p>
            <w:pPr>
              <w:bidi/>
              <w:spacing w:after="20"/>
              <w:jc w:val="right"/>
            </w:pPr>
            <w:r>
              <w:rPr>
                <w:rFonts w:ascii="Arial" w:cs="Arial" w:eastAsia="Arial" w:hAnsi="Arial"/>
                <w:sz w:val="17"/>
                <w:szCs w:val="17"/>
                <w:rtl/>
                <w:lang w:val="he-IL" w:bidi="he-IL"/>
              </w:rPr>
              <w:t xml:space="preserve">חברה: קמהדע</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Flutiform (Fluticasone propionate/Formoterol 50/5, 125/5, 250/10 mcg)</w:t>
            </w:r>
          </w:p>
          <w:p>
            <w:pPr>
              <w:bidi/>
              <w:spacing w:after="20"/>
              <w:jc w:val="right"/>
            </w:pPr>
            <w:r>
              <w:rPr>
                <w:rFonts w:ascii="Arial" w:cs="Arial" w:eastAsia="Arial" w:hAnsi="Arial"/>
                <w:sz w:val="17"/>
                <w:szCs w:val="17"/>
                <w:rtl/>
                <w:lang w:val="he-IL" w:bidi="he-IL"/>
              </w:rPr>
              <w:t xml:space="preserve">BID</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ICS/LABA: אסתמה</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כל רופא (מרשם)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50/5: 115.12 ₪</w:t>
            </w:r>
          </w:p>
          <w:p>
            <w:pPr>
              <w:bidi/>
              <w:spacing w:after="20"/>
              <w:jc w:val="right"/>
            </w:pPr>
            <w:r>
              <w:rPr>
                <w:rFonts w:ascii="Arial" w:cs="Arial" w:eastAsia="Arial" w:hAnsi="Arial"/>
                <w:sz w:val="17"/>
                <w:szCs w:val="17"/>
                <w:rtl/>
                <w:lang w:val="he-IL" w:bidi="he-IL"/>
              </w:rPr>
              <w:t xml:space="preserve">125/5: 142.87 ₪</w:t>
            </w:r>
          </w:p>
          <w:p>
            <w:pPr>
              <w:bidi/>
              <w:spacing w:after="20"/>
              <w:jc w:val="right"/>
            </w:pPr>
            <w:r>
              <w:rPr>
                <w:rFonts w:ascii="Arial" w:cs="Arial" w:eastAsia="Arial" w:hAnsi="Arial"/>
                <w:sz w:val="17"/>
                <w:szCs w:val="17"/>
                <w:rtl/>
                <w:lang w:val="he-IL" w:bidi="he-IL"/>
              </w:rPr>
              <w:t xml:space="preserve">250/10: 233.23 ₪</w:t>
            </w:r>
          </w:p>
          <w:p>
            <w:pPr>
              <w:bidi/>
              <w:spacing w:after="20"/>
              <w:jc w:val="right"/>
            </w:pPr>
            <w:r>
              <w:rPr>
                <w:rFonts w:ascii="Arial" w:cs="Arial" w:eastAsia="Arial" w:hAnsi="Arial"/>
                <w:sz w:val="17"/>
                <w:szCs w:val="17"/>
                <w:rtl/>
                <w:lang w:val="he-IL" w:bidi="he-IL"/>
              </w:rPr>
              <w:t xml:space="preserve">(120 נשיפות)</w:t>
            </w:r>
          </w:p>
          <w:p>
            <w:pPr>
              <w:bidi/>
              <w:spacing w:after="20"/>
              <w:jc w:val="right"/>
            </w:pPr>
            <w:r>
              <w:rPr>
                <w:rFonts w:ascii="Arial" w:cs="Arial" w:eastAsia="Arial" w:hAnsi="Arial"/>
                <w:sz w:val="17"/>
                <w:szCs w:val="17"/>
                <w:rtl/>
                <w:lang w:val="he-IL" w:bidi="he-IL"/>
              </w:rPr>
              <w:t xml:space="preserve">חברה: רפא</w:t>
            </w:r>
          </w:p>
        </w:tc>
      </w:tr>
      <w:tr>
        <w:trPr>
          <w:cantSplit/>
        </w:trPr>
        <w:tc>
          <w:tcPr>
            <w:tcW w:type="dxa" w:w="15398"/>
            <w:gridSpan w:val="6"/>
            <w:tcBorders>
              <w:top w:val="single" w:color="A6A6A6" w:sz="4"/>
              <w:left w:val="single" w:color="A6A6A6" w:sz="4"/>
              <w:bottom w:val="single" w:color="A6A6A6" w:sz="4"/>
              <w:right w:val="single" w:color="A6A6A6" w:sz="4"/>
            </w:tcBorders>
            <w:shd w:fill="D9E2F3" w:color="auto" w:val="clear"/>
            <w:tcMar>
              <w:top w:type="dxa" w:w="50"/>
              <w:left w:type="dxa" w:w="80"/>
              <w:bottom w:type="dxa" w:w="50"/>
              <w:right w:type="dxa" w:w="80"/>
            </w:tcMar>
          </w:tcPr>
          <w:p>
            <w:pPr>
              <w:bidi/>
              <w:spacing w:after="20"/>
              <w:jc w:val="right"/>
            </w:pPr>
            <w:r>
              <w:rPr>
                <w:rFonts w:ascii="Arial" w:cs="Arial" w:eastAsia="Arial" w:hAnsi="Arial"/>
                <w:b/>
                <w:bCs/>
                <w:sz w:val="19"/>
                <w:szCs w:val="19"/>
                <w:rtl/>
                <w:lang w:val="he-IL" w:bidi="he-IL"/>
              </w:rPr>
              <w:t xml:space="preserve">ב. משאפי DPI (אבקה)</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Relvar Ellipta (Fluticasone furoate/Vilanterol 92/22, 184/22 mcg)</w:t>
            </w:r>
          </w:p>
          <w:p>
            <w:pPr>
              <w:bidi/>
              <w:spacing w:after="20"/>
              <w:jc w:val="right"/>
            </w:pPr>
            <w:r>
              <w:rPr>
                <w:rFonts w:ascii="Arial" w:cs="Arial" w:eastAsia="Arial" w:hAnsi="Arial"/>
                <w:sz w:val="17"/>
                <w:szCs w:val="17"/>
                <w:rtl/>
                <w:lang w:val="he-IL" w:bidi="he-IL"/>
              </w:rPr>
              <w:t xml:space="preserve">פעם ביום (OD); 184/22 – אסתמה בלבד</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ICS/LABA: אסתמה (שני החוזקים); COPD (92/22 בלבד)</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כל רופא (מרשם)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92/22: 134.17 ₪</w:t>
            </w:r>
          </w:p>
          <w:p>
            <w:pPr>
              <w:bidi/>
              <w:spacing w:after="20"/>
              <w:jc w:val="right"/>
            </w:pPr>
            <w:r>
              <w:rPr>
                <w:rFonts w:ascii="Arial" w:cs="Arial" w:eastAsia="Arial" w:hAnsi="Arial"/>
                <w:sz w:val="17"/>
                <w:szCs w:val="17"/>
                <w:rtl/>
                <w:lang w:val="he-IL" w:bidi="he-IL"/>
              </w:rPr>
              <w:t xml:space="preserve">184/22: 156.02 ₪</w:t>
            </w:r>
          </w:p>
          <w:p>
            <w:pPr>
              <w:bidi/>
              <w:spacing w:after="20"/>
              <w:jc w:val="right"/>
            </w:pPr>
            <w:r>
              <w:rPr>
                <w:rFonts w:ascii="Arial" w:cs="Arial" w:eastAsia="Arial" w:hAnsi="Arial"/>
                <w:sz w:val="17"/>
                <w:szCs w:val="17"/>
                <w:rtl/>
                <w:lang w:val="he-IL" w:bidi="he-IL"/>
              </w:rPr>
              <w:t xml:space="preserve">(30 מנות)</w:t>
            </w:r>
          </w:p>
          <w:p>
            <w:pPr>
              <w:bidi/>
              <w:spacing w:after="20"/>
              <w:jc w:val="right"/>
            </w:pPr>
            <w:r>
              <w:rPr>
                <w:rFonts w:ascii="Arial" w:cs="Arial" w:eastAsia="Arial" w:hAnsi="Arial"/>
                <w:sz w:val="17"/>
                <w:szCs w:val="17"/>
                <w:rtl/>
                <w:lang w:val="he-IL" w:bidi="he-IL"/>
              </w:rPr>
              <w:t xml:space="preserve">חברה: ג.ס.ק</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Incruse Ellipta (Umeclidinium 55 mcg)</w:t>
            </w:r>
          </w:p>
          <w:p>
            <w:pPr>
              <w:bidi/>
              <w:spacing w:after="20"/>
              <w:jc w:val="right"/>
            </w:pPr>
            <w:r>
              <w:rPr>
                <w:rFonts w:ascii="Arial" w:cs="Arial" w:eastAsia="Arial" w:hAnsi="Arial"/>
                <w:sz w:val="17"/>
                <w:szCs w:val="17"/>
                <w:rtl/>
                <w:lang w:val="he-IL" w:bidi="he-IL"/>
              </w:rPr>
              <w:t xml:space="preserve">OD</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LAMA: COPD</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כל רופא (מרשם)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134.76 ₪ (30 מנות)</w:t>
            </w:r>
          </w:p>
          <w:p>
            <w:pPr>
              <w:bidi/>
              <w:spacing w:after="20"/>
              <w:jc w:val="right"/>
            </w:pPr>
            <w:r>
              <w:rPr>
                <w:rFonts w:ascii="Arial" w:cs="Arial" w:eastAsia="Arial" w:hAnsi="Arial"/>
                <w:sz w:val="17"/>
                <w:szCs w:val="17"/>
                <w:rtl/>
                <w:lang w:val="he-IL" w:bidi="he-IL"/>
              </w:rPr>
              <w:t xml:space="preserve">חברה: ג.ס.ק</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Anoro Ellipta (Umeclidinium/Vilanterol 55/22 mcg)</w:t>
            </w:r>
          </w:p>
          <w:p>
            <w:pPr>
              <w:bidi/>
              <w:spacing w:after="20"/>
              <w:jc w:val="right"/>
            </w:pPr>
            <w:r>
              <w:rPr>
                <w:rFonts w:ascii="Arial" w:cs="Arial" w:eastAsia="Arial" w:hAnsi="Arial"/>
                <w:sz w:val="17"/>
                <w:szCs w:val="17"/>
                <w:rtl/>
                <w:lang w:val="he-IL" w:bidi="he-IL"/>
              </w:rPr>
              <w:t xml:space="preserve">OD</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LAMA/LABA: COPD</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כל רופא (מרשם)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186.31 ₪ (30 מנות)</w:t>
            </w:r>
          </w:p>
          <w:p>
            <w:pPr>
              <w:bidi/>
              <w:spacing w:after="20"/>
              <w:jc w:val="right"/>
            </w:pPr>
            <w:r>
              <w:rPr>
                <w:rFonts w:ascii="Arial" w:cs="Arial" w:eastAsia="Arial" w:hAnsi="Arial"/>
                <w:sz w:val="17"/>
                <w:szCs w:val="17"/>
                <w:rtl/>
                <w:lang w:val="he-IL" w:bidi="he-IL"/>
              </w:rPr>
              <w:t xml:space="preserve">חברה: ג.ס.ק</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Ventolin Diskus (Salbutamol 200 mcg)</w:t>
            </w:r>
          </w:p>
          <w:p>
            <w:pPr>
              <w:bidi/>
              <w:spacing w:after="20"/>
              <w:jc w:val="right"/>
            </w:pPr>
            <w:r>
              <w:rPr>
                <w:rFonts w:ascii="Arial" w:cs="Arial" w:eastAsia="Arial" w:hAnsi="Arial"/>
                <w:sz w:val="17"/>
                <w:szCs w:val="17"/>
                <w:rtl/>
                <w:lang w:val="he-IL" w:bidi="he-IL"/>
              </w:rPr>
              <w:t xml:space="preserve">1–4 שאיפות/יום לפי הצורך (PRN)</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SABA: כמו ונטולין</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כל רופא (מרשם)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24.61 ₪ (60 מנות)</w:t>
            </w:r>
          </w:p>
          <w:p>
            <w:pPr>
              <w:bidi/>
              <w:spacing w:after="20"/>
              <w:jc w:val="right"/>
            </w:pPr>
            <w:r>
              <w:rPr>
                <w:rFonts w:ascii="Arial" w:cs="Arial" w:eastAsia="Arial" w:hAnsi="Arial"/>
                <w:sz w:val="17"/>
                <w:szCs w:val="17"/>
                <w:rtl/>
                <w:lang w:val="he-IL" w:bidi="he-IL"/>
              </w:rPr>
              <w:t xml:space="preserve">חברה: ג.ס.ק</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Serevent Diskus (Salmeterol 50 mcg)</w:t>
            </w:r>
          </w:p>
          <w:p>
            <w:pPr>
              <w:bidi/>
              <w:spacing w:after="20"/>
              <w:jc w:val="right"/>
            </w:pPr>
            <w:r>
              <w:rPr>
                <w:rFonts w:ascii="Arial" w:cs="Arial" w:eastAsia="Arial" w:hAnsi="Arial"/>
                <w:sz w:val="17"/>
                <w:szCs w:val="17"/>
                <w:rtl/>
                <w:lang w:val="he-IL" w:bidi="he-IL"/>
              </w:rPr>
              <w:t xml:space="preserve">BID</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LABA: אסתמה (עם ICS); COPD</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כל רופא (מרשם)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93.55 ₪ (60 מנות)</w:t>
            </w:r>
          </w:p>
          <w:p>
            <w:pPr>
              <w:bidi/>
              <w:spacing w:after="20"/>
              <w:jc w:val="right"/>
            </w:pPr>
            <w:r>
              <w:rPr>
                <w:rFonts w:ascii="Arial" w:cs="Arial" w:eastAsia="Arial" w:hAnsi="Arial"/>
                <w:sz w:val="17"/>
                <w:szCs w:val="17"/>
                <w:rtl/>
                <w:lang w:val="he-IL" w:bidi="he-IL"/>
              </w:rPr>
              <w:t xml:space="preserve">חברה: ג.ס.ק</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Flixotide Diskus (Fluticasone propionate 50, 100, 250, 500 mcg)</w:t>
            </w:r>
          </w:p>
          <w:p>
            <w:pPr>
              <w:bidi/>
              <w:spacing w:after="20"/>
              <w:jc w:val="right"/>
            </w:pPr>
            <w:r>
              <w:rPr>
                <w:rFonts w:ascii="Arial" w:cs="Arial" w:eastAsia="Arial" w:hAnsi="Arial"/>
                <w:sz w:val="17"/>
                <w:szCs w:val="17"/>
                <w:rtl/>
                <w:lang w:val="he-IL" w:bidi="he-IL"/>
              </w:rPr>
              <w:t xml:space="preserve">100–1000 mcg BID; 100 – אסתמה בלבד</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ICS: אסתמה; COPD (250, 500)</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כל רופא (מרשם)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50: 26.36 ₪</w:t>
            </w:r>
          </w:p>
          <w:p>
            <w:pPr>
              <w:bidi/>
              <w:spacing w:after="20"/>
              <w:jc w:val="right"/>
            </w:pPr>
            <w:r>
              <w:rPr>
                <w:rFonts w:ascii="Arial" w:cs="Arial" w:eastAsia="Arial" w:hAnsi="Arial"/>
                <w:sz w:val="17"/>
                <w:szCs w:val="17"/>
                <w:rtl/>
                <w:lang w:val="he-IL" w:bidi="he-IL"/>
              </w:rPr>
              <w:t xml:space="preserve">100: 29.40 ₪</w:t>
            </w:r>
          </w:p>
          <w:p>
            <w:pPr>
              <w:bidi/>
              <w:spacing w:after="20"/>
              <w:jc w:val="right"/>
            </w:pPr>
            <w:r>
              <w:rPr>
                <w:rFonts w:ascii="Arial" w:cs="Arial" w:eastAsia="Arial" w:hAnsi="Arial"/>
                <w:sz w:val="17"/>
                <w:szCs w:val="17"/>
                <w:rtl/>
                <w:lang w:val="he-IL" w:bidi="he-IL"/>
              </w:rPr>
              <w:t xml:space="preserve">250: 61.26 ₪</w:t>
            </w:r>
          </w:p>
          <w:p>
            <w:pPr>
              <w:bidi/>
              <w:spacing w:after="20"/>
              <w:jc w:val="right"/>
            </w:pPr>
            <w:r>
              <w:rPr>
                <w:rFonts w:ascii="Arial" w:cs="Arial" w:eastAsia="Arial" w:hAnsi="Arial"/>
                <w:sz w:val="17"/>
                <w:szCs w:val="17"/>
                <w:rtl/>
                <w:lang w:val="he-IL" w:bidi="he-IL"/>
              </w:rPr>
              <w:t xml:space="preserve">500: 122.57 ₪</w:t>
            </w:r>
          </w:p>
          <w:p>
            <w:pPr>
              <w:bidi/>
              <w:spacing w:after="20"/>
              <w:jc w:val="right"/>
            </w:pPr>
            <w:r>
              <w:rPr>
                <w:rFonts w:ascii="Arial" w:cs="Arial" w:eastAsia="Arial" w:hAnsi="Arial"/>
                <w:sz w:val="17"/>
                <w:szCs w:val="17"/>
                <w:rtl/>
                <w:lang w:val="he-IL" w:bidi="he-IL"/>
              </w:rPr>
              <w:t xml:space="preserve">(60 מנות)</w:t>
            </w:r>
          </w:p>
          <w:p>
            <w:pPr>
              <w:bidi/>
              <w:spacing w:after="20"/>
              <w:jc w:val="right"/>
            </w:pPr>
            <w:r>
              <w:rPr>
                <w:rFonts w:ascii="Arial" w:cs="Arial" w:eastAsia="Arial" w:hAnsi="Arial"/>
                <w:sz w:val="17"/>
                <w:szCs w:val="17"/>
                <w:rtl/>
                <w:lang w:val="he-IL" w:bidi="he-IL"/>
              </w:rPr>
              <w:t xml:space="preserve">חברה: ג.ס.ק</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Seretide Diskus (Fluticasone propionate/Salmeterol 100/50, 250/50, 500/50 mcg)</w:t>
            </w:r>
          </w:p>
          <w:p>
            <w:pPr>
              <w:bidi/>
              <w:spacing w:after="20"/>
              <w:jc w:val="right"/>
            </w:pPr>
            <w:r>
              <w:rPr>
                <w:rFonts w:ascii="Arial" w:cs="Arial" w:eastAsia="Arial" w:hAnsi="Arial"/>
                <w:sz w:val="17"/>
                <w:szCs w:val="17"/>
                <w:rtl/>
                <w:lang w:val="he-IL" w:bidi="he-IL"/>
              </w:rPr>
              <w:t xml:space="preserve">BID; 100/50 – אסתמה בלבד</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ICS/LABA: אסתמה; COPD (250/50, 500/50)</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כל רופא (מרשם)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100/50: 106.33 ₪</w:t>
            </w:r>
          </w:p>
          <w:p>
            <w:pPr>
              <w:bidi/>
              <w:spacing w:after="20"/>
              <w:jc w:val="right"/>
            </w:pPr>
            <w:r>
              <w:rPr>
                <w:rFonts w:ascii="Arial" w:cs="Arial" w:eastAsia="Arial" w:hAnsi="Arial"/>
                <w:sz w:val="17"/>
                <w:szCs w:val="17"/>
                <w:rtl/>
                <w:lang w:val="he-IL" w:bidi="he-IL"/>
              </w:rPr>
              <w:t xml:space="preserve">250/50: 133.38 ₪</w:t>
            </w:r>
          </w:p>
          <w:p>
            <w:pPr>
              <w:bidi/>
              <w:spacing w:after="20"/>
              <w:jc w:val="right"/>
            </w:pPr>
            <w:r>
              <w:rPr>
                <w:rFonts w:ascii="Arial" w:cs="Arial" w:eastAsia="Arial" w:hAnsi="Arial"/>
                <w:sz w:val="17"/>
                <w:szCs w:val="17"/>
                <w:rtl/>
                <w:lang w:val="he-IL" w:bidi="he-IL"/>
              </w:rPr>
              <w:t xml:space="preserve">500/50: 152.63 ₪</w:t>
            </w:r>
          </w:p>
          <w:p>
            <w:pPr>
              <w:bidi/>
              <w:spacing w:after="20"/>
              <w:jc w:val="right"/>
            </w:pPr>
            <w:r>
              <w:rPr>
                <w:rFonts w:ascii="Arial" w:cs="Arial" w:eastAsia="Arial" w:hAnsi="Arial"/>
                <w:sz w:val="17"/>
                <w:szCs w:val="17"/>
                <w:rtl/>
                <w:lang w:val="he-IL" w:bidi="he-IL"/>
              </w:rPr>
              <w:t xml:space="preserve">(60 מנות)</w:t>
            </w:r>
          </w:p>
          <w:p>
            <w:pPr>
              <w:bidi/>
              <w:spacing w:after="20"/>
              <w:jc w:val="right"/>
            </w:pPr>
            <w:r>
              <w:rPr>
                <w:rFonts w:ascii="Arial" w:cs="Arial" w:eastAsia="Arial" w:hAnsi="Arial"/>
                <w:sz w:val="17"/>
                <w:szCs w:val="17"/>
                <w:rtl/>
                <w:lang w:val="he-IL" w:bidi="he-IL"/>
              </w:rPr>
              <w:t xml:space="preserve">חברה: ג.ס.ק</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Budicort Turbuhaler (Budesonide 100, 200 mcg)</w:t>
            </w:r>
          </w:p>
          <w:p>
            <w:pPr>
              <w:bidi/>
              <w:spacing w:after="20"/>
              <w:jc w:val="right"/>
            </w:pPr>
            <w:r>
              <w:rPr>
                <w:rFonts w:ascii="Arial" w:cs="Arial" w:eastAsia="Arial" w:hAnsi="Arial"/>
                <w:sz w:val="17"/>
                <w:szCs w:val="17"/>
                <w:rtl/>
                <w:lang w:val="he-IL" w:bidi="he-IL"/>
              </w:rPr>
              <w:t xml:space="preserve">200–800 mcg פעם או פעמיים ביום</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ICS: אסתמה</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כל רופא (מרשם)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מופיע במחירון</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Symbicort Turbuhaler (Budesonide/Formoterol 80/4.5, 160/4.5, 320/9 mcg)</w:t>
            </w:r>
          </w:p>
          <w:p>
            <w:pPr>
              <w:bidi/>
              <w:spacing w:after="20"/>
              <w:jc w:val="right"/>
            </w:pPr>
            <w:r>
              <w:rPr>
                <w:rFonts w:ascii="Arial" w:cs="Arial" w:eastAsia="Arial" w:hAnsi="Arial"/>
                <w:sz w:val="17"/>
                <w:szCs w:val="17"/>
                <w:rtl/>
                <w:lang w:val="he-IL" w:bidi="he-IL"/>
              </w:rPr>
              <w:t xml:space="preserve">OD/BID; 80/4.5 – אסתמה בלבד; 320/9 – אינו מותווה ל-MART</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ICS/LABA: אסתמה (אחזקה ו-MART); COPD</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כל רופא (מרשם)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80/4.5: 151.60 ₪ (120 מנות)</w:t>
            </w:r>
          </w:p>
          <w:p>
            <w:pPr>
              <w:bidi/>
              <w:spacing w:after="20"/>
              <w:jc w:val="right"/>
            </w:pPr>
            <w:r>
              <w:rPr>
                <w:rFonts w:ascii="Arial" w:cs="Arial" w:eastAsia="Arial" w:hAnsi="Arial"/>
                <w:sz w:val="17"/>
                <w:szCs w:val="17"/>
                <w:rtl/>
                <w:lang w:val="he-IL" w:bidi="he-IL"/>
              </w:rPr>
              <w:t xml:space="preserve">160/4.5: 132.21 ₪ (120 מנות)</w:t>
            </w:r>
          </w:p>
          <w:p>
            <w:pPr>
              <w:bidi/>
              <w:spacing w:after="20"/>
              <w:jc w:val="right"/>
            </w:pPr>
            <w:r>
              <w:rPr>
                <w:rFonts w:ascii="Arial" w:cs="Arial" w:eastAsia="Arial" w:hAnsi="Arial"/>
                <w:sz w:val="17"/>
                <w:szCs w:val="17"/>
                <w:rtl/>
                <w:lang w:val="he-IL" w:bidi="he-IL"/>
              </w:rPr>
              <w:t xml:space="preserve">320/9: 129.97 ₪ (60 מנות)</w:t>
            </w:r>
          </w:p>
          <w:p>
            <w:pPr>
              <w:bidi/>
              <w:spacing w:after="20"/>
              <w:jc w:val="right"/>
            </w:pPr>
            <w:r>
              <w:rPr>
                <w:rFonts w:ascii="Arial" w:cs="Arial" w:eastAsia="Arial" w:hAnsi="Arial"/>
                <w:sz w:val="17"/>
                <w:szCs w:val="17"/>
                <w:rtl/>
                <w:lang w:val="he-IL" w:bidi="he-IL"/>
              </w:rPr>
              <w:t xml:space="preserve">חברה: אסטראזנקה</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DuoResp Spiromax (Budesonide/Formoterol 160/4.5, 320/9 mcg)</w:t>
            </w:r>
          </w:p>
          <w:p>
            <w:pPr>
              <w:bidi/>
              <w:spacing w:after="20"/>
              <w:jc w:val="right"/>
            </w:pPr>
            <w:r>
              <w:rPr>
                <w:rFonts w:ascii="Arial" w:cs="Arial" w:eastAsia="Arial" w:hAnsi="Arial"/>
                <w:sz w:val="17"/>
                <w:szCs w:val="17"/>
                <w:rtl/>
                <w:lang w:val="he-IL" w:bidi="he-IL"/>
              </w:rPr>
              <w:t xml:space="preserve">OD/BID; 320/9 – אינו מותווה ל-MART</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ICS/LABA: אסתמה (אחזקה ו-MART); COPD</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כל רופא (מרשם)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160/4.5: 235.47 ₪ (120 מנות)</w:t>
            </w:r>
          </w:p>
          <w:p>
            <w:pPr>
              <w:bidi/>
              <w:spacing w:after="20"/>
              <w:jc w:val="right"/>
            </w:pPr>
            <w:r>
              <w:rPr>
                <w:rFonts w:ascii="Arial" w:cs="Arial" w:eastAsia="Arial" w:hAnsi="Arial"/>
                <w:sz w:val="17"/>
                <w:szCs w:val="17"/>
                <w:rtl/>
                <w:lang w:val="he-IL" w:bidi="he-IL"/>
              </w:rPr>
              <w:t xml:space="preserve">320/9: 231.43 ₪ (60 מנות)</w:t>
            </w:r>
          </w:p>
          <w:p>
            <w:pPr>
              <w:bidi/>
              <w:spacing w:after="20"/>
              <w:jc w:val="right"/>
            </w:pPr>
            <w:r>
              <w:rPr>
                <w:rFonts w:ascii="Arial" w:cs="Arial" w:eastAsia="Arial" w:hAnsi="Arial"/>
                <w:sz w:val="17"/>
                <w:szCs w:val="17"/>
                <w:rtl/>
                <w:lang w:val="he-IL" w:bidi="he-IL"/>
              </w:rPr>
              <w:t xml:space="preserve">חברה: טבע</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Foradil Aerolizer (Formoterol 12 mcg)</w:t>
            </w:r>
          </w:p>
          <w:p>
            <w:pPr>
              <w:bidi/>
              <w:spacing w:after="20"/>
              <w:jc w:val="right"/>
            </w:pPr>
            <w:r>
              <w:rPr>
                <w:rFonts w:ascii="Arial" w:cs="Arial" w:eastAsia="Arial" w:hAnsi="Arial"/>
                <w:sz w:val="17"/>
                <w:szCs w:val="17"/>
                <w:rtl/>
                <w:lang w:val="he-IL" w:bidi="he-IL"/>
              </w:rPr>
              <w:t xml:space="preserve">BID</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LABA: אסתמה (עם ICS); COPD</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כל רופא (מרשם)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63.06 ₪ (60 קפסולות)</w:t>
            </w:r>
          </w:p>
          <w:p>
            <w:pPr>
              <w:bidi/>
              <w:spacing w:after="20"/>
              <w:jc w:val="right"/>
            </w:pPr>
            <w:r>
              <w:rPr>
                <w:rFonts w:ascii="Arial" w:cs="Arial" w:eastAsia="Arial" w:hAnsi="Arial"/>
                <w:sz w:val="17"/>
                <w:szCs w:val="17"/>
                <w:rtl/>
                <w:lang w:val="he-IL" w:bidi="he-IL"/>
              </w:rPr>
              <w:t xml:space="preserve">חברה: סנדוז</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Seebri Breezhaler (Glycopyrronium 50 mcg)</w:t>
            </w:r>
          </w:p>
          <w:p>
            <w:pPr>
              <w:bidi/>
              <w:spacing w:after="20"/>
              <w:jc w:val="right"/>
            </w:pPr>
            <w:r>
              <w:rPr>
                <w:rFonts w:ascii="Arial" w:cs="Arial" w:eastAsia="Arial" w:hAnsi="Arial"/>
                <w:sz w:val="17"/>
                <w:szCs w:val="17"/>
                <w:rtl/>
                <w:lang w:val="he-IL" w:bidi="he-IL"/>
              </w:rPr>
              <w:t xml:space="preserve">OD</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LAMA: COPD</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כל רופא (מרשם)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127.32 ₪ (30 קפסולות)</w:t>
            </w:r>
          </w:p>
          <w:p>
            <w:pPr>
              <w:bidi/>
              <w:spacing w:after="20"/>
              <w:jc w:val="right"/>
            </w:pPr>
            <w:r>
              <w:rPr>
                <w:rFonts w:ascii="Arial" w:cs="Arial" w:eastAsia="Arial" w:hAnsi="Arial"/>
                <w:sz w:val="17"/>
                <w:szCs w:val="17"/>
                <w:rtl/>
                <w:lang w:val="he-IL" w:bidi="he-IL"/>
              </w:rPr>
              <w:t xml:space="preserve">חברה: נוברטיס</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Ultibro Breezhaler (Glycopyrronium/Indacaterol 50/110 mcg)</w:t>
            </w:r>
          </w:p>
          <w:p>
            <w:pPr>
              <w:bidi/>
              <w:spacing w:after="20"/>
              <w:jc w:val="right"/>
            </w:pPr>
            <w:r>
              <w:rPr>
                <w:rFonts w:ascii="Arial" w:cs="Arial" w:eastAsia="Arial" w:hAnsi="Arial"/>
                <w:sz w:val="17"/>
                <w:szCs w:val="17"/>
                <w:rtl/>
                <w:lang w:val="he-IL" w:bidi="he-IL"/>
              </w:rPr>
              <w:t xml:space="preserve">OD</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LABA/LAMA: COPD</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כל רופא (מרשם)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171.68 ₪ (30 קפסולות)</w:t>
            </w:r>
          </w:p>
          <w:p>
            <w:pPr>
              <w:bidi/>
              <w:spacing w:after="20"/>
              <w:jc w:val="right"/>
            </w:pPr>
            <w:r>
              <w:rPr>
                <w:rFonts w:ascii="Arial" w:cs="Arial" w:eastAsia="Arial" w:hAnsi="Arial"/>
                <w:sz w:val="17"/>
                <w:szCs w:val="17"/>
                <w:rtl/>
                <w:lang w:val="he-IL" w:bidi="he-IL"/>
              </w:rPr>
              <w:t xml:space="preserve">חברה: נוברטיס</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Spiriva HandiHaler (Tiotropium 18 mcg)</w:t>
            </w:r>
          </w:p>
          <w:p>
            <w:pPr>
              <w:bidi/>
              <w:spacing w:after="20"/>
              <w:jc w:val="right"/>
            </w:pPr>
            <w:r>
              <w:rPr>
                <w:rFonts w:ascii="Arial" w:cs="Arial" w:eastAsia="Arial" w:hAnsi="Arial"/>
                <w:sz w:val="17"/>
                <w:szCs w:val="17"/>
                <w:rtl/>
                <w:lang w:val="he-IL" w:bidi="he-IL"/>
              </w:rPr>
              <w:t xml:space="preserve">OD</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LAMA: COPD</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כל רופא (מרשם)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108.33 ₪ (30 קפסולות)</w:t>
            </w:r>
          </w:p>
          <w:p>
            <w:pPr>
              <w:bidi/>
              <w:spacing w:after="20"/>
              <w:jc w:val="right"/>
            </w:pPr>
            <w:r>
              <w:rPr>
                <w:rFonts w:ascii="Arial" w:cs="Arial" w:eastAsia="Arial" w:hAnsi="Arial"/>
                <w:sz w:val="17"/>
                <w:szCs w:val="17"/>
                <w:rtl/>
                <w:lang w:val="he-IL" w:bidi="he-IL"/>
              </w:rPr>
              <w:t xml:space="preserve">חברה: בורינגר אינגלהיים</w:t>
            </w:r>
          </w:p>
        </w:tc>
      </w:tr>
      <w:tr>
        <w:trPr>
          <w:cantSplit/>
        </w:trPr>
        <w:tc>
          <w:tcPr>
            <w:tcW w:type="dxa" w:w="15398"/>
            <w:gridSpan w:val="6"/>
            <w:tcBorders>
              <w:top w:val="single" w:color="A6A6A6" w:sz="4"/>
              <w:left w:val="single" w:color="A6A6A6" w:sz="4"/>
              <w:bottom w:val="single" w:color="A6A6A6" w:sz="4"/>
              <w:right w:val="single" w:color="A6A6A6" w:sz="4"/>
            </w:tcBorders>
            <w:shd w:fill="D9E2F3" w:color="auto" w:val="clear"/>
            <w:tcMar>
              <w:top w:type="dxa" w:w="50"/>
              <w:left w:type="dxa" w:w="80"/>
              <w:bottom w:type="dxa" w:w="50"/>
              <w:right w:type="dxa" w:w="80"/>
            </w:tcMar>
          </w:tcPr>
          <w:p>
            <w:pPr>
              <w:bidi/>
              <w:spacing w:after="20"/>
              <w:jc w:val="right"/>
            </w:pPr>
            <w:r>
              <w:rPr>
                <w:rFonts w:ascii="Arial" w:cs="Arial" w:eastAsia="Arial" w:hAnsi="Arial"/>
                <w:b/>
                <w:bCs/>
                <w:sz w:val="19"/>
                <w:szCs w:val="19"/>
                <w:rtl/>
                <w:lang w:val="he-IL" w:bidi="he-IL"/>
              </w:rPr>
              <w:t xml:space="preserve">ג. משאפי SMI (Soft Mist) – מומלץ לצרף מרשם לספייסר (עם מסכה במידת הצורך)</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Spiriva Respimat (Tiotropium 2.5 mcg/נשיפה)</w:t>
            </w:r>
          </w:p>
          <w:p>
            <w:pPr>
              <w:bidi/>
              <w:spacing w:after="20"/>
              <w:jc w:val="right"/>
            </w:pPr>
            <w:r>
              <w:rPr>
                <w:rFonts w:ascii="Arial" w:cs="Arial" w:eastAsia="Arial" w:hAnsi="Arial"/>
                <w:sz w:val="17"/>
                <w:szCs w:val="17"/>
                <w:rtl/>
                <w:lang w:val="he-IL" w:bidi="he-IL"/>
              </w:rPr>
              <w:t xml:space="preserve">2 נשיפות פעם ביום (OD)</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COPD: LAMA לטיפול אחזקה</w:t>
            </w:r>
          </w:p>
          <w:p>
            <w:pPr>
              <w:bidi/>
              <w:spacing w:after="20"/>
              <w:jc w:val="right"/>
            </w:pPr>
            <w:r>
              <w:rPr>
                <w:rFonts w:ascii="Arial" w:cs="Arial" w:eastAsia="Arial" w:hAnsi="Arial"/>
                <w:sz w:val="17"/>
                <w:szCs w:val="17"/>
                <w:rtl/>
                <w:lang w:val="he-IL" w:bidi="he-IL"/>
              </w:rPr>
              <w:t xml:space="preserve">אסתמה (מגיל 6): תוספת לטיפול במטופלים עם החמרות</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COPD: בסל</w:t>
            </w:r>
          </w:p>
          <w:p>
            <w:pPr>
              <w:bidi/>
              <w:spacing w:after="20"/>
              <w:jc w:val="right"/>
            </w:pPr>
            <w:r>
              <w:rPr>
                <w:rFonts w:ascii="Arial" w:cs="Arial" w:eastAsia="Arial" w:hAnsi="Arial"/>
                <w:sz w:val="17"/>
                <w:szCs w:val="17"/>
                <w:rtl/>
                <w:lang w:val="he-IL" w:bidi="he-IL"/>
              </w:rPr>
              <w:t xml:space="preserve">אסתמה: בסל מגיל 6 – אסתמה חמורה ולפחות החמרה חמורה אחת בשנה האחרונה</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נמצאה הגבלה במאגר</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COPD: לא נדרש (בסל)</w:t>
            </w:r>
          </w:p>
          <w:p>
            <w:pPr>
              <w:bidi/>
              <w:spacing w:after="20"/>
              <w:jc w:val="right"/>
            </w:pPr>
            <w:r>
              <w:rPr>
                <w:rFonts w:ascii="Arial" w:cs="Arial" w:eastAsia="Arial" w:hAnsi="Arial"/>
                <w:sz w:val="17"/>
                <w:szCs w:val="17"/>
                <w:rtl/>
                <w:lang w:val="he-IL" w:bidi="he-IL"/>
              </w:rPr>
              <w:t xml:space="preserve">אסתמה: 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129.33 ₪ (30 מנות)</w:t>
            </w:r>
          </w:p>
          <w:p>
            <w:pPr>
              <w:bidi/>
              <w:spacing w:after="20"/>
              <w:jc w:val="right"/>
            </w:pPr>
            <w:r>
              <w:rPr>
                <w:rFonts w:ascii="Arial" w:cs="Arial" w:eastAsia="Arial" w:hAnsi="Arial"/>
                <w:sz w:val="17"/>
                <w:szCs w:val="17"/>
                <w:rtl/>
                <w:lang w:val="he-IL" w:bidi="he-IL"/>
              </w:rPr>
              <w:t xml:space="preserve">חברה: בורינגר אינגלהיים</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Spiolto Respimat (Tiotropium/Olodaterol 2.5/2.5 mcg/נשיפה)</w:t>
            </w:r>
          </w:p>
          <w:p>
            <w:pPr>
              <w:bidi/>
              <w:spacing w:after="20"/>
              <w:jc w:val="right"/>
            </w:pPr>
            <w:r>
              <w:rPr>
                <w:rFonts w:ascii="Arial" w:cs="Arial" w:eastAsia="Arial" w:hAnsi="Arial"/>
                <w:sz w:val="17"/>
                <w:szCs w:val="17"/>
                <w:rtl/>
                <w:lang w:val="he-IL" w:bidi="he-IL"/>
              </w:rPr>
              <w:t xml:space="preserve">2 נשיפות OD</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LAMA/LABA: COPD</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כל רופא (מרשם)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191.80 ₪ (30 מנות)</w:t>
            </w:r>
          </w:p>
          <w:p>
            <w:pPr>
              <w:bidi/>
              <w:spacing w:after="20"/>
              <w:jc w:val="right"/>
            </w:pPr>
            <w:r>
              <w:rPr>
                <w:rFonts w:ascii="Arial" w:cs="Arial" w:eastAsia="Arial" w:hAnsi="Arial"/>
                <w:sz w:val="17"/>
                <w:szCs w:val="17"/>
                <w:rtl/>
                <w:lang w:val="he-IL" w:bidi="he-IL"/>
              </w:rPr>
              <w:t xml:space="preserve">חברה: בורינגר אינגלהיים</w:t>
            </w:r>
          </w:p>
        </w:tc>
      </w:tr>
      <w:tr>
        <w:trPr>
          <w:cantSplit/>
        </w:trPr>
        <w:tc>
          <w:tcPr>
            <w:tcW w:type="dxa" w:w="15398"/>
            <w:gridSpan w:val="6"/>
            <w:tcBorders>
              <w:top w:val="single" w:color="A6A6A6" w:sz="4"/>
              <w:left w:val="single" w:color="A6A6A6" w:sz="4"/>
              <w:bottom w:val="single" w:color="A6A6A6" w:sz="4"/>
              <w:right w:val="single" w:color="A6A6A6" w:sz="4"/>
            </w:tcBorders>
            <w:shd w:fill="D9E2F3" w:color="auto" w:val="clear"/>
            <w:tcMar>
              <w:top w:type="dxa" w:w="50"/>
              <w:left w:type="dxa" w:w="80"/>
              <w:bottom w:type="dxa" w:w="50"/>
              <w:right w:type="dxa" w:w="80"/>
            </w:tcMar>
          </w:tcPr>
          <w:p>
            <w:pPr>
              <w:bidi/>
              <w:spacing w:after="20"/>
              <w:jc w:val="right"/>
            </w:pPr>
            <w:r>
              <w:rPr>
                <w:rFonts w:ascii="Arial" w:cs="Arial" w:eastAsia="Arial" w:hAnsi="Arial"/>
                <w:b/>
                <w:bCs/>
                <w:sz w:val="19"/>
                <w:szCs w:val="19"/>
                <w:rtl/>
                <w:lang w:val="he-IL" w:bidi="he-IL"/>
              </w:rPr>
              <w:t xml:space="preserve">ד. משאפים משולשים (ICS/LAMA/LABA) ותכשירי אחזקה נוספים</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Trimbow (Beclomethasone/Formoterol/Glycopyrronium)</w:t>
            </w:r>
          </w:p>
          <w:p>
            <w:pPr>
              <w:bidi/>
              <w:spacing w:after="20"/>
              <w:jc w:val="right"/>
            </w:pPr>
            <w:r>
              <w:rPr>
                <w:rFonts w:ascii="Arial" w:cs="Arial" w:eastAsia="Arial" w:hAnsi="Arial"/>
                <w:sz w:val="17"/>
                <w:szCs w:val="17"/>
                <w:rtl/>
                <w:lang w:val="he-IL" w:bidi="he-IL"/>
              </w:rPr>
              <w:t xml:space="preserve">100/6/12.5 mcg: BID – אסתמה + COPD</w:t>
            </w:r>
          </w:p>
          <w:p>
            <w:pPr>
              <w:bidi/>
              <w:spacing w:after="20"/>
              <w:jc w:val="right"/>
            </w:pPr>
            <w:r>
              <w:rPr>
                <w:rFonts w:ascii="Arial" w:cs="Arial" w:eastAsia="Arial" w:hAnsi="Arial"/>
                <w:sz w:val="17"/>
                <w:szCs w:val="17"/>
                <w:rtl/>
                <w:lang w:val="he-IL" w:bidi="he-IL"/>
              </w:rPr>
              <w:t xml:space="preserve">200/6/12.5 mcg: BID – אסתמה בלבד</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אסתמה (מבוגרים): 100/6/12.5 – לא מאוזנת על ICS/LABA במינון בינוני עם ≥1 החמרה בשנה; 200/6/12.5 – על מינון גבוה עם ≥1 החמרה בשנה</w:t>
            </w:r>
          </w:p>
          <w:p>
            <w:pPr>
              <w:bidi/>
              <w:spacing w:after="20"/>
              <w:jc w:val="right"/>
            </w:pPr>
            <w:r>
              <w:rPr>
                <w:rFonts w:ascii="Arial" w:cs="Arial" w:eastAsia="Arial" w:hAnsi="Arial"/>
                <w:sz w:val="17"/>
                <w:szCs w:val="17"/>
                <w:rtl/>
                <w:lang w:val="he-IL" w:bidi="he-IL"/>
              </w:rPr>
              <w:t xml:space="preserve">COPD (100/6/12.5 בלבד): בינוני–קשה שאינו מטופל כראוי בשילוב ICS/LABA או LABA/LAMA</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 – COPD ואסתמה (מבוגרים), ללא מגבלות סל באסתמה</w:t>
            </w:r>
          </w:p>
          <w:p>
            <w:pPr>
              <w:bidi/>
              <w:spacing w:after="20"/>
              <w:jc w:val="right"/>
            </w:pPr>
            <w:r>
              <w:rPr>
                <w:rFonts w:ascii="Arial" w:cs="Arial" w:eastAsia="Arial" w:hAnsi="Arial"/>
                <w:sz w:val="17"/>
                <w:szCs w:val="17"/>
                <w:rtl/>
                <w:lang w:val="he-IL" w:bidi="he-IL"/>
              </w:rPr>
              <w:t xml:space="preserve">נוסח הסל במאגר (הכללה 16.01.2019) אינו כולל תנאי סף נוספים (למעט הגבלת מרשם למומחה).</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COPD: התחלת טיפול ע"י מומחה ברפואת ריאות</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100/6/12.5: 252.36 ₪</w:t>
            </w:r>
          </w:p>
          <w:p>
            <w:pPr>
              <w:bidi/>
              <w:spacing w:after="20"/>
              <w:jc w:val="right"/>
            </w:pPr>
            <w:r>
              <w:rPr>
                <w:rFonts w:ascii="Arial" w:cs="Arial" w:eastAsia="Arial" w:hAnsi="Arial"/>
                <w:sz w:val="17"/>
                <w:szCs w:val="17"/>
                <w:rtl/>
                <w:lang w:val="he-IL" w:bidi="he-IL"/>
              </w:rPr>
              <w:t xml:space="preserve">200/6/12.5: 268.85 ₪</w:t>
            </w:r>
          </w:p>
          <w:p>
            <w:pPr>
              <w:bidi/>
              <w:spacing w:after="20"/>
              <w:jc w:val="right"/>
            </w:pPr>
            <w:r>
              <w:rPr>
                <w:rFonts w:ascii="Arial" w:cs="Arial" w:eastAsia="Arial" w:hAnsi="Arial"/>
                <w:sz w:val="17"/>
                <w:szCs w:val="17"/>
                <w:rtl/>
                <w:lang w:val="he-IL" w:bidi="he-IL"/>
              </w:rPr>
              <w:t xml:space="preserve">(120 נשיפות)</w:t>
            </w:r>
          </w:p>
          <w:p>
            <w:pPr>
              <w:bidi/>
              <w:spacing w:after="20"/>
              <w:jc w:val="right"/>
            </w:pPr>
            <w:r>
              <w:rPr>
                <w:rFonts w:ascii="Arial" w:cs="Arial" w:eastAsia="Arial" w:hAnsi="Arial"/>
                <w:sz w:val="17"/>
                <w:szCs w:val="17"/>
                <w:rtl/>
                <w:lang w:val="he-IL" w:bidi="he-IL"/>
              </w:rPr>
              <w:t xml:space="preserve">חברה: קמהדע</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Trelegy Ellipta (Fluticasone furoate/Umeclidinium/Vilanterol)</w:t>
            </w:r>
          </w:p>
          <w:p>
            <w:pPr>
              <w:bidi/>
              <w:spacing w:after="20"/>
              <w:jc w:val="right"/>
            </w:pPr>
            <w:r>
              <w:rPr>
                <w:rFonts w:ascii="Arial" w:cs="Arial" w:eastAsia="Arial" w:hAnsi="Arial"/>
                <w:sz w:val="17"/>
                <w:szCs w:val="17"/>
                <w:rtl/>
                <w:lang w:val="he-IL" w:bidi="he-IL"/>
              </w:rPr>
              <w:t xml:space="preserve">92/55/22 mcg: OD – אסתמה + COPD</w:t>
            </w:r>
          </w:p>
          <w:p>
            <w:pPr>
              <w:bidi/>
              <w:spacing w:after="20"/>
              <w:jc w:val="right"/>
            </w:pPr>
            <w:r>
              <w:rPr>
                <w:rFonts w:ascii="Arial" w:cs="Arial" w:eastAsia="Arial" w:hAnsi="Arial"/>
                <w:sz w:val="17"/>
                <w:szCs w:val="17"/>
                <w:rtl/>
                <w:lang w:val="he-IL" w:bidi="he-IL"/>
              </w:rPr>
              <w:t xml:space="preserve">184/55/22 mcg: OD – אסתמה בלבד</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אסתמה (18+): טיפול אחזקה כשאינה מאוזנת על ICS/LABA; 184/55/22 למי שזקוק ל-ICS במינון גבוה</w:t>
            </w:r>
          </w:p>
          <w:p>
            <w:pPr>
              <w:bidi/>
              <w:spacing w:after="20"/>
              <w:jc w:val="right"/>
            </w:pPr>
            <w:r>
              <w:rPr>
                <w:rFonts w:ascii="Arial" w:cs="Arial" w:eastAsia="Arial" w:hAnsi="Arial"/>
                <w:sz w:val="17"/>
                <w:szCs w:val="17"/>
                <w:rtl/>
                <w:lang w:val="he-IL" w:bidi="he-IL"/>
              </w:rPr>
              <w:t xml:space="preserve">COPD (92/55/22 בלבד): בינוני–קשה שאינו מטופל כראוי בשילוב ICS/LABA (בעלון הישראלי)</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COPD: בסל, ללא תנאי FEV1 בנוסח הסל</w:t>
            </w:r>
          </w:p>
          <w:p>
            <w:pPr>
              <w:bidi/>
              <w:spacing w:after="20"/>
              <w:jc w:val="right"/>
            </w:pPr>
            <w:r>
              <w:rPr>
                <w:rFonts w:ascii="Arial" w:cs="Arial" w:eastAsia="Arial" w:hAnsi="Arial"/>
                <w:sz w:val="17"/>
                <w:szCs w:val="17"/>
                <w:rtl/>
                <w:lang w:val="he-IL" w:bidi="he-IL"/>
              </w:rPr>
              <w:t xml:space="preserve">אסתמה: בסל למבוגרים על מינון גבוה של ICS/LABA עם ≥1 החמרה שחייבה סטרואידים סיסטמיים</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COPD: התחלת טיפול ע"י מומחה ברפואת ריאות</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92/55/22: 260.46 ₪ (30 מנות)</w:t>
            </w:r>
          </w:p>
          <w:p>
            <w:pPr>
              <w:bidi/>
              <w:spacing w:after="20"/>
              <w:jc w:val="right"/>
            </w:pPr>
            <w:r>
              <w:rPr>
                <w:rFonts w:ascii="Arial" w:cs="Arial" w:eastAsia="Arial" w:hAnsi="Arial"/>
                <w:sz w:val="17"/>
                <w:szCs w:val="17"/>
                <w:rtl/>
                <w:lang w:val="he-IL" w:bidi="he-IL"/>
              </w:rPr>
              <w:t xml:space="preserve">184/55/22: אין מחיר מוגדר במחירון</w:t>
            </w:r>
          </w:p>
          <w:p>
            <w:pPr>
              <w:bidi/>
              <w:spacing w:after="20"/>
              <w:jc w:val="right"/>
            </w:pPr>
            <w:r>
              <w:rPr>
                <w:rFonts w:ascii="Arial" w:cs="Arial" w:eastAsia="Arial" w:hAnsi="Arial"/>
                <w:sz w:val="17"/>
                <w:szCs w:val="17"/>
                <w:rtl/>
                <w:lang w:val="he-IL" w:bidi="he-IL"/>
              </w:rPr>
              <w:t xml:space="preserve">חברה: ג.ס.ק</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Trixeo Aerosphere (Budesonide/Glycopyrronium/Formoterol 160/7.2/5 mcg)</w:t>
            </w:r>
          </w:p>
          <w:p>
            <w:pPr>
              <w:bidi/>
              <w:spacing w:after="20"/>
              <w:jc w:val="right"/>
            </w:pPr>
            <w:r>
              <w:rPr>
                <w:rFonts w:ascii="Arial" w:cs="Arial" w:eastAsia="Arial" w:hAnsi="Arial"/>
                <w:sz w:val="17"/>
                <w:szCs w:val="17"/>
                <w:rtl/>
                <w:lang w:val="he-IL" w:bidi="he-IL"/>
              </w:rPr>
              <w:t xml:space="preserve">BID</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COPD בלבד (מבוגרים): בינוני–קשה שאינו מטופל כראוי בשילוב ICS/LABA או LABA/LAMA</w:t>
            </w:r>
          </w:p>
          <w:p>
            <w:pPr>
              <w:bidi/>
              <w:spacing w:after="20"/>
              <w:jc w:val="right"/>
            </w:pPr>
            <w:r>
              <w:rPr>
                <w:rFonts w:ascii="Arial" w:cs="Arial" w:eastAsia="Arial" w:hAnsi="Arial"/>
                <w:sz w:val="17"/>
                <w:szCs w:val="17"/>
                <w:rtl/>
                <w:lang w:val="he-IL" w:bidi="he-IL"/>
              </w:rPr>
              <w:t xml:space="preserve">אסתמה: אינו רשום להתוויה זו</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COPD: בסל, ללא תנאי FEV1 בנוסח הסל</w:t>
            </w:r>
          </w:p>
          <w:p>
            <w:pPr>
              <w:bidi/>
              <w:spacing w:after="20"/>
              <w:jc w:val="right"/>
            </w:pPr>
            <w:r>
              <w:rPr>
                <w:rFonts w:ascii="Arial" w:cs="Arial" w:eastAsia="Arial" w:hAnsi="Arial"/>
                <w:sz w:val="17"/>
                <w:szCs w:val="17"/>
                <w:rtl/>
                <w:lang w:val="he-IL" w:bidi="he-IL"/>
              </w:rPr>
              <w:t xml:space="preserve">אסתמה: לא רלוונטי</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COPD: התחלת טיפול ע"י מומחה ברפואת ריאות</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COPD: לא נדרש (בסל)</w:t>
            </w:r>
          </w:p>
          <w:p>
            <w:pPr>
              <w:bidi/>
              <w:spacing w:after="20"/>
              <w:jc w:val="right"/>
            </w:pPr>
            <w:r>
              <w:rPr>
                <w:rFonts w:ascii="Arial" w:cs="Arial" w:eastAsia="Arial" w:hAnsi="Arial"/>
                <w:sz w:val="17"/>
                <w:szCs w:val="17"/>
                <w:rtl/>
                <w:lang w:val="he-IL" w:bidi="he-IL"/>
              </w:rPr>
              <w:t xml:space="preserve">אסתמה: שימוש off-label – ביטוח פרטי בלבד, לפי תנאי הפוליסה</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268.25 ₪ (120 נשיפות)</w:t>
            </w:r>
          </w:p>
          <w:p>
            <w:pPr>
              <w:bidi/>
              <w:spacing w:after="20"/>
              <w:jc w:val="right"/>
            </w:pPr>
            <w:r>
              <w:rPr>
                <w:rFonts w:ascii="Arial" w:cs="Arial" w:eastAsia="Arial" w:hAnsi="Arial"/>
                <w:sz w:val="17"/>
                <w:szCs w:val="17"/>
                <w:rtl/>
                <w:lang w:val="he-IL" w:bidi="he-IL"/>
              </w:rPr>
              <w:t xml:space="preserve">חברה: אסטראזנקה</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Ohtuvayre (Ensifentrine)</w:t>
            </w:r>
          </w:p>
          <w:p>
            <w:pPr>
              <w:bidi/>
              <w:spacing w:after="20"/>
              <w:jc w:val="right"/>
            </w:pPr>
            <w:r>
              <w:rPr>
                <w:rFonts w:ascii="Arial" w:cs="Arial" w:eastAsia="Arial" w:hAnsi="Arial"/>
                <w:sz w:val="17"/>
                <w:szCs w:val="17"/>
                <w:rtl/>
                <w:lang w:val="he-IL" w:bidi="he-IL"/>
              </w:rPr>
              <w:t xml:space="preserve">אינהלציה בנבולייזר, פעמיים ביום</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מעכב כפול PDE3/PDE4; טיפול אחזקה ב-COPD – אינו רשום בישראל (נבדק במאגר 21.10.2026)</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רלוונטי – אינו רשום</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כל רופא (מרשם)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רלוונטי</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חברה: Verona Pharma (נרכשה ע"י Merck)</w:t>
            </w:r>
          </w:p>
          <w:p>
            <w:pPr>
              <w:bidi/>
              <w:spacing w:after="20"/>
              <w:jc w:val="right"/>
            </w:pPr>
            <w:r>
              <w:rPr>
                <w:rFonts w:ascii="Arial" w:cs="Arial" w:eastAsia="Arial" w:hAnsi="Arial"/>
                <w:sz w:val="17"/>
                <w:szCs w:val="17"/>
                <w:rtl/>
                <w:lang w:val="he-IL" w:bidi="he-IL"/>
              </w:rPr>
              <w:t xml:space="preserve">אישור בעולם: FDA, יוני 2024</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Enerzair Breezhaler (Mometasone/Indacaterol/Glycopyrronium)</w:t>
            </w:r>
          </w:p>
          <w:p>
            <w:pPr>
              <w:bidi/>
              <w:spacing w:after="20"/>
              <w:jc w:val="right"/>
            </w:pPr>
            <w:r>
              <w:rPr>
                <w:rFonts w:ascii="Arial" w:cs="Arial" w:eastAsia="Arial" w:hAnsi="Arial"/>
                <w:sz w:val="17"/>
                <w:szCs w:val="17"/>
                <w:rtl/>
                <w:lang w:val="he-IL" w:bidi="he-IL"/>
              </w:rPr>
              <w:t xml:space="preserve">קפסולה לשאיפה, פעם ביום</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משאף משולב ICS/LABA/LAMA; אסתמה שאינה מאוזנת על ICS/LABA. לא נמצא במאגר לפי שם, אך מופיע במחירון (246.06 ₪) – אינו רשום בישראל (נבדק במאגר 21.10.2026)</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רלוונטי – אינו רשום</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כל רופא (מרשם)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רלוונטי</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חברה: Novartis</w:t>
            </w:r>
          </w:p>
          <w:p>
            <w:pPr>
              <w:bidi/>
              <w:spacing w:after="20"/>
              <w:jc w:val="right"/>
            </w:pPr>
            <w:r>
              <w:rPr>
                <w:rFonts w:ascii="Arial" w:cs="Arial" w:eastAsia="Arial" w:hAnsi="Arial"/>
                <w:sz w:val="17"/>
                <w:szCs w:val="17"/>
                <w:rtl/>
                <w:lang w:val="he-IL" w:bidi="he-IL"/>
              </w:rPr>
              <w:t xml:space="preserve">אישור בעולם: EMA, 2020</w:t>
            </w:r>
          </w:p>
        </w:tc>
      </w:tr>
      <w:tr>
        <w:trPr>
          <w:cantSplit/>
        </w:trPr>
        <w:tc>
          <w:tcPr>
            <w:tcW w:type="dxa" w:w="15398"/>
            <w:gridSpan w:val="6"/>
            <w:tcBorders>
              <w:top w:val="single" w:color="A6A6A6" w:sz="4"/>
              <w:left w:val="single" w:color="A6A6A6" w:sz="4"/>
              <w:bottom w:val="single" w:color="A6A6A6" w:sz="4"/>
              <w:right w:val="single" w:color="A6A6A6" w:sz="4"/>
            </w:tcBorders>
            <w:shd w:fill="D9E2F3" w:color="auto" w:val="clear"/>
            <w:tcMar>
              <w:top w:type="dxa" w:w="50"/>
              <w:left w:type="dxa" w:w="80"/>
              <w:bottom w:type="dxa" w:w="50"/>
              <w:right w:type="dxa" w:w="80"/>
            </w:tcMar>
          </w:tcPr>
          <w:p>
            <w:pPr>
              <w:bidi/>
              <w:spacing w:after="20"/>
              <w:jc w:val="right"/>
            </w:pPr>
            <w:r>
              <w:rPr>
                <w:rFonts w:ascii="Arial" w:cs="Arial" w:eastAsia="Arial" w:hAnsi="Arial"/>
                <w:b/>
                <w:bCs/>
                <w:sz w:val="19"/>
                <w:szCs w:val="19"/>
                <w:rtl/>
                <w:lang w:val="he-IL" w:bidi="he-IL"/>
              </w:rPr>
              <w:t xml:space="preserve">ה. טיפולים ביולוגיים למחלות דרכי אוויר</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Xolair (Omalizumab 75/150/300 mg) – anti-IgE</w:t>
            </w:r>
          </w:p>
          <w:p>
            <w:pPr>
              <w:bidi/>
              <w:spacing w:after="20"/>
              <w:jc w:val="right"/>
            </w:pPr>
            <w:r>
              <w:rPr>
                <w:rFonts w:ascii="Arial" w:cs="Arial" w:eastAsia="Arial" w:hAnsi="Arial"/>
                <w:sz w:val="17"/>
                <w:szCs w:val="17"/>
                <w:rtl/>
                <w:lang w:val="he-IL" w:bidi="he-IL"/>
              </w:rPr>
              <w:t xml:space="preserve">75–600 mg ת"ע כל 2–4 שבועות לפי טבלת IgE ומשקל</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אסתמה אלרגית קשה (מגיל 6); CRSwNP; אורטיקריה כרונית</w:t>
            </w:r>
          </w:p>
          <w:p>
            <w:pPr>
              <w:bidi/>
              <w:spacing w:after="20"/>
              <w:jc w:val="right"/>
            </w:pPr>
            <w:r>
              <w:rPr>
                <w:rFonts w:ascii="Arial" w:cs="Arial" w:eastAsia="Arial" w:hAnsi="Arial"/>
                <w:sz w:val="17"/>
                <w:szCs w:val="17"/>
                <w:rtl/>
                <w:lang w:val="he-IL" w:bidi="he-IL"/>
              </w:rPr>
              <w:t xml:space="preserve">אלרגיה למזון: לא מופיעה בהתוויות הרשומות בישראל</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אסתמה: בסל – אסתמה אלרגית קשה, רגישות מוכחת, חוסר איזון על ICS במינון גבוה + LABA והחמרות; רמת IgE 30–1500 יחידות (נוסח הסל 23.1.2011)</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מומחה באלרגיה ואימונולוגיה קלינית או ברפואת עור ומין</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מחוץ לתנאי הסל: ביטוח פרטי; ש"מ באישור מראש</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75 mg: 568.16 ₪</w:t>
            </w:r>
          </w:p>
          <w:p>
            <w:pPr>
              <w:bidi/>
              <w:spacing w:after="20"/>
              <w:jc w:val="right"/>
            </w:pPr>
            <w:r>
              <w:rPr>
                <w:rFonts w:ascii="Arial" w:cs="Arial" w:eastAsia="Arial" w:hAnsi="Arial"/>
                <w:sz w:val="17"/>
                <w:szCs w:val="17"/>
                <w:rtl/>
                <w:lang w:val="he-IL" w:bidi="he-IL"/>
              </w:rPr>
              <w:t xml:space="preserve">150 mg PFS: 1,111.16 ₪</w:t>
            </w:r>
          </w:p>
          <w:p>
            <w:pPr>
              <w:bidi/>
              <w:spacing w:after="20"/>
              <w:jc w:val="right"/>
            </w:pPr>
            <w:r>
              <w:rPr>
                <w:rFonts w:ascii="Arial" w:cs="Arial" w:eastAsia="Arial" w:hAnsi="Arial"/>
                <w:sz w:val="17"/>
                <w:szCs w:val="17"/>
                <w:rtl/>
                <w:lang w:val="he-IL" w:bidi="he-IL"/>
              </w:rPr>
              <w:t xml:space="preserve">150 mg בקבוקון: 1,880.66 ₪</w:t>
            </w:r>
          </w:p>
          <w:p>
            <w:pPr>
              <w:bidi/>
              <w:spacing w:after="20"/>
              <w:jc w:val="right"/>
            </w:pPr>
            <w:r>
              <w:rPr>
                <w:rFonts w:ascii="Arial" w:cs="Arial" w:eastAsia="Arial" w:hAnsi="Arial"/>
                <w:sz w:val="17"/>
                <w:szCs w:val="17"/>
                <w:rtl/>
                <w:lang w:val="he-IL" w:bidi="he-IL"/>
              </w:rPr>
              <w:t xml:space="preserve">חברה: נוברטיס</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Nucala (Mepolizumab 100 mg) – anti-IL-5</w:t>
            </w:r>
          </w:p>
          <w:p>
            <w:pPr>
              <w:bidi/>
              <w:spacing w:after="20"/>
              <w:jc w:val="right"/>
            </w:pPr>
            <w:r>
              <w:rPr>
                <w:rFonts w:ascii="Arial" w:cs="Arial" w:eastAsia="Arial" w:hAnsi="Arial"/>
                <w:sz w:val="17"/>
                <w:szCs w:val="17"/>
                <w:rtl/>
                <w:lang w:val="he-IL" w:bidi="he-IL"/>
              </w:rPr>
              <w:t xml:space="preserve">100 mg ת"ע כל 4 שבועות (EGPA/HES: 300 mg)</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אסתמה אאוזינופילית קשה (כתוספת לטיפול אחזקה); CRSwNP; EGPA; HES</w:t>
            </w:r>
          </w:p>
          <w:p>
            <w:pPr>
              <w:bidi/>
              <w:spacing w:after="20"/>
              <w:jc w:val="right"/>
            </w:pPr>
            <w:r>
              <w:rPr>
                <w:rFonts w:ascii="Arial" w:cs="Arial" w:eastAsia="Arial" w:hAnsi="Arial"/>
                <w:sz w:val="17"/>
                <w:szCs w:val="17"/>
                <w:rtl/>
                <w:lang w:val="he-IL" w:bidi="he-IL"/>
              </w:rPr>
              <w:t xml:space="preserve">COPD: COPD אאוזינופילי עם החמרות – רשום בישראל (עדכון רישום 2026)</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אסתמה: בסל מגיל 12, בתנאים*</w:t>
            </w:r>
          </w:p>
          <w:p>
            <w:pPr>
              <w:bidi/>
              <w:spacing w:after="20"/>
              <w:jc w:val="right"/>
            </w:pPr>
            <w:r>
              <w:rPr>
                <w:rFonts w:ascii="Arial" w:cs="Arial" w:eastAsia="Arial" w:hAnsi="Arial"/>
                <w:sz w:val="17"/>
                <w:szCs w:val="17"/>
                <w:rtl/>
                <w:lang w:val="he-IL" w:bidi="he-IL"/>
              </w:rPr>
              <w:t xml:space="preserve">נוסח הסל במאגר (19.2.2025): אאוזינופילים ≥150 תאים/µL בשתי בדיקות מהשנתיים האחרונות, עם החמרות (≥2 עם מיון/אשפוז, או ≥3 עם סטרואידים סיסטמיים, או סטרואידים פומיים קבועים ≥50% מהזמן); או ≤400 תאים/µL עם טיפול קבוע בסטרואידים פומיים. לא בשילוב עם Dupilumab או Omalizumab</w:t>
            </w:r>
          </w:p>
          <w:p>
            <w:pPr>
              <w:bidi/>
              <w:spacing w:after="20"/>
              <w:jc w:val="right"/>
            </w:pPr>
            <w:r>
              <w:rPr>
                <w:rFonts w:ascii="Arial" w:cs="Arial" w:eastAsia="Arial" w:hAnsi="Arial"/>
                <w:sz w:val="17"/>
                <w:szCs w:val="17"/>
                <w:rtl/>
                <w:lang w:val="he-IL" w:bidi="he-IL"/>
              </w:rPr>
              <w:t xml:space="preserve">EGPA, HES: בסל</w:t>
            </w:r>
          </w:p>
          <w:p>
            <w:pPr>
              <w:bidi/>
              <w:spacing w:after="20"/>
              <w:jc w:val="right"/>
            </w:pPr>
            <w:r>
              <w:rPr>
                <w:rFonts w:ascii="Arial" w:cs="Arial" w:eastAsia="Arial" w:hAnsi="Arial"/>
                <w:sz w:val="17"/>
                <w:szCs w:val="17"/>
                <w:rtl/>
                <w:lang w:val="he-IL" w:bidi="he-IL"/>
              </w:rPr>
              <w:t xml:space="preserve">COPD: לא נמצא סעיף 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אסתמה: מומחה ברפואת ריאות או באלרגיה ואימונולוגיה קלינית</w:t>
            </w:r>
          </w:p>
          <w:p>
            <w:pPr>
              <w:bidi/>
              <w:spacing w:after="20"/>
              <w:jc w:val="right"/>
            </w:pPr>
            <w:r>
              <w:rPr>
                <w:rFonts w:ascii="Arial" w:cs="Arial" w:eastAsia="Arial" w:hAnsi="Arial"/>
                <w:sz w:val="17"/>
                <w:szCs w:val="17"/>
                <w:rtl/>
                <w:lang w:val="he-IL" w:bidi="he-IL"/>
              </w:rPr>
              <w:t xml:space="preserve">EGPA: גם מומחה בראומטולוגיה</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אסתמה מחוץ לתנאי הסל: ביטוח פרטי; ש"מ</w:t>
            </w:r>
          </w:p>
          <w:p>
            <w:pPr>
              <w:bidi/>
              <w:spacing w:after="20"/>
              <w:jc w:val="right"/>
            </w:pPr>
            <w:r>
              <w:rPr>
                <w:rFonts w:ascii="Arial" w:cs="Arial" w:eastAsia="Arial" w:hAnsi="Arial"/>
                <w:sz w:val="17"/>
                <w:szCs w:val="17"/>
                <w:rtl/>
                <w:lang w:val="he-IL" w:bidi="he-IL"/>
              </w:rPr>
              <w:t xml:space="preserve">COPD: ביטוח פרטי; ש"מ (בסל אך לא להתוויה)</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4,253.90 ₪ (מזרק/עט)</w:t>
            </w:r>
          </w:p>
          <w:p>
            <w:pPr>
              <w:bidi/>
              <w:spacing w:after="20"/>
              <w:jc w:val="right"/>
            </w:pPr>
            <w:r>
              <w:rPr>
                <w:rFonts w:ascii="Arial" w:cs="Arial" w:eastAsia="Arial" w:hAnsi="Arial"/>
                <w:sz w:val="17"/>
                <w:szCs w:val="17"/>
                <w:rtl/>
                <w:lang w:val="he-IL" w:bidi="he-IL"/>
              </w:rPr>
              <w:t xml:space="preserve">חברה: ג.ס.ק</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Fasenra (Benralizumab 30 mg) – anti-IL-5Rα</w:t>
            </w:r>
          </w:p>
          <w:p>
            <w:pPr>
              <w:bidi/>
              <w:spacing w:after="20"/>
              <w:jc w:val="right"/>
            </w:pPr>
            <w:r>
              <w:rPr>
                <w:rFonts w:ascii="Arial" w:cs="Arial" w:eastAsia="Arial" w:hAnsi="Arial"/>
                <w:sz w:val="17"/>
                <w:szCs w:val="17"/>
                <w:rtl/>
                <w:lang w:val="he-IL" w:bidi="he-IL"/>
              </w:rPr>
              <w:t xml:space="preserve">30 mg ת"ע כל 4 שבועות ×3, ואחר כך כל 8 שבועות</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אסתמה אאוזינופילית קשה (מבוגרים, כתוספת לטיפול אחזקה); EGPA</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אסתמה: בסל מגיל 12, בתנאים*</w:t>
            </w:r>
          </w:p>
          <w:p>
            <w:pPr>
              <w:bidi/>
              <w:spacing w:after="20"/>
              <w:jc w:val="right"/>
            </w:pPr>
            <w:r>
              <w:rPr>
                <w:rFonts w:ascii="Arial" w:cs="Arial" w:eastAsia="Arial" w:hAnsi="Arial"/>
                <w:sz w:val="17"/>
                <w:szCs w:val="17"/>
                <w:rtl/>
                <w:lang w:val="he-IL" w:bidi="he-IL"/>
              </w:rPr>
              <w:t xml:space="preserve">נוסח הסל במאגר (19.2.2025): אאוזינופילים ≥300 תאים/µL בשתי בדיקות מהשנתיים האחרונות, עם החמרות או סטרואידים פומיים קבועים; או ≤400 תאים/µL עם טיפול קבוע בסטרואידים פומיים</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מומחה ברפואת ריאות או באלרגיה ואימונולוגיה קלינית</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אסתמה מחוץ לתנאי הסל: ביטוח פרטי; ש"מ</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9,486.31 ₪ (עט)</w:t>
            </w:r>
          </w:p>
          <w:p>
            <w:pPr>
              <w:bidi/>
              <w:spacing w:after="20"/>
              <w:jc w:val="right"/>
            </w:pPr>
            <w:r>
              <w:rPr>
                <w:rFonts w:ascii="Arial" w:cs="Arial" w:eastAsia="Arial" w:hAnsi="Arial"/>
                <w:sz w:val="17"/>
                <w:szCs w:val="17"/>
                <w:rtl/>
                <w:lang w:val="he-IL" w:bidi="he-IL"/>
              </w:rPr>
              <w:t xml:space="preserve">חברה: אסטראזנקה</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Dupixent (Dupilumab 200/300 mg) – anti-IL-4Rα (חוסם IL-4 ו-IL-13)</w:t>
            </w:r>
          </w:p>
          <w:p>
            <w:pPr>
              <w:bidi/>
              <w:spacing w:after="20"/>
              <w:jc w:val="right"/>
            </w:pPr>
            <w:r>
              <w:rPr>
                <w:rFonts w:ascii="Arial" w:cs="Arial" w:eastAsia="Arial" w:hAnsi="Arial"/>
                <w:sz w:val="17"/>
                <w:szCs w:val="17"/>
                <w:rtl/>
                <w:lang w:val="he-IL" w:bidi="he-IL"/>
              </w:rPr>
              <w:t xml:space="preserve">אסתמה (מגיל 12): העמסה 400 mg ואחר כך 200 mg כל שבועיים, או העמסה 600 mg ואחר כך 300 mg כל שבועיים; תלוית סטרואידים פומיים: העמסה 600 mg ואז 300 mg כל שבועיים</w:t>
            </w:r>
          </w:p>
          <w:p>
            <w:pPr>
              <w:bidi/>
              <w:spacing w:after="20"/>
              <w:jc w:val="right"/>
            </w:pPr>
            <w:r>
              <w:rPr>
                <w:rFonts w:ascii="Arial" w:cs="Arial" w:eastAsia="Arial" w:hAnsi="Arial"/>
                <w:sz w:val="17"/>
                <w:szCs w:val="17"/>
                <w:rtl/>
                <w:lang w:val="he-IL" w:bidi="he-IL"/>
              </w:rPr>
              <w:t xml:space="preserve">COPD: 300 mg כל שבועיים, ללא העמסה לפי העלון (FDA)</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אסתמה בינונית–קשה (אאוזינופילית/FeNO) או תלוית סטרואידים פומיים; COPD עם אאוזינופיליה (≥300 תאים/µL) – 300 mg רשום ל-COPD; אטופיק דרמטיטיס; CRSwNP; EoE; PN</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אסתמה: בסל מגיל 12, בתנאים*</w:t>
            </w:r>
          </w:p>
          <w:p>
            <w:pPr>
              <w:bidi/>
              <w:spacing w:after="20"/>
              <w:jc w:val="right"/>
            </w:pPr>
            <w:r>
              <w:rPr>
                <w:rFonts w:ascii="Arial" w:cs="Arial" w:eastAsia="Arial" w:hAnsi="Arial"/>
                <w:sz w:val="17"/>
                <w:szCs w:val="17"/>
                <w:rtl/>
                <w:lang w:val="he-IL" w:bidi="he-IL"/>
              </w:rPr>
              <w:t xml:space="preserve">נוסח הסל במאגר (19.2.2025): אאוזינופילים ≥150 תאים/µL בשתי בדיקות מהשנתיים האחרונות, עם החמרות; ילדים 6–11: ≥150 תאים/µL או FeNO ≥25 ppb</w:t>
            </w:r>
          </w:p>
          <w:p>
            <w:pPr>
              <w:bidi/>
              <w:spacing w:after="20"/>
              <w:jc w:val="right"/>
            </w:pPr>
            <w:r>
              <w:rPr>
                <w:rFonts w:ascii="Arial" w:cs="Arial" w:eastAsia="Arial" w:hAnsi="Arial"/>
                <w:sz w:val="17"/>
                <w:szCs w:val="17"/>
                <w:rtl/>
                <w:lang w:val="he-IL" w:bidi="he-IL"/>
              </w:rPr>
              <w:t xml:space="preserve">אטופיק דרמטיטיס: בסל</w:t>
            </w:r>
          </w:p>
          <w:p>
            <w:pPr>
              <w:bidi/>
              <w:spacing w:after="20"/>
              <w:jc w:val="right"/>
            </w:pPr>
            <w:r>
              <w:rPr>
                <w:rFonts w:ascii="Arial" w:cs="Arial" w:eastAsia="Arial" w:hAnsi="Arial"/>
                <w:sz w:val="17"/>
                <w:szCs w:val="17"/>
                <w:rtl/>
                <w:lang w:val="he-IL" w:bidi="he-IL"/>
              </w:rPr>
              <w:t xml:space="preserve">COPD: לא 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אסתמה: מומחה ברפואת ריאות או באלרגיה ואימונולוגיה קלינית</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COPD: ביטוח פרטי; ש"מ (בסל אך לא להתוויה); ש"כ</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200 mg (2 מזרקים): 5,234.54 ₪</w:t>
            </w:r>
          </w:p>
          <w:p>
            <w:pPr>
              <w:bidi/>
              <w:spacing w:after="20"/>
              <w:jc w:val="right"/>
            </w:pPr>
            <w:r>
              <w:rPr>
                <w:rFonts w:ascii="Arial" w:cs="Arial" w:eastAsia="Arial" w:hAnsi="Arial"/>
                <w:sz w:val="17"/>
                <w:szCs w:val="17"/>
                <w:rtl/>
                <w:lang w:val="he-IL" w:bidi="he-IL"/>
              </w:rPr>
              <w:t xml:space="preserve">300 mg (2 מזרקים): 5,169.52 ₪</w:t>
            </w:r>
          </w:p>
          <w:p>
            <w:pPr>
              <w:bidi/>
              <w:spacing w:after="20"/>
              <w:jc w:val="right"/>
            </w:pPr>
            <w:r>
              <w:rPr>
                <w:rFonts w:ascii="Arial" w:cs="Arial" w:eastAsia="Arial" w:hAnsi="Arial"/>
                <w:sz w:val="17"/>
                <w:szCs w:val="17"/>
                <w:rtl/>
                <w:lang w:val="he-IL" w:bidi="he-IL"/>
              </w:rPr>
              <w:t xml:space="preserve">חברה: סאנופי אוונטיס</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Tezspire (Tezepelumab 210 mg) – anti-TSLP</w:t>
            </w:r>
          </w:p>
          <w:p>
            <w:pPr>
              <w:bidi/>
              <w:spacing w:after="20"/>
              <w:jc w:val="right"/>
            </w:pPr>
            <w:r>
              <w:rPr>
                <w:rFonts w:ascii="Arial" w:cs="Arial" w:eastAsia="Arial" w:hAnsi="Arial"/>
                <w:sz w:val="17"/>
                <w:szCs w:val="17"/>
                <w:rtl/>
                <w:lang w:val="he-IL" w:bidi="he-IL"/>
              </w:rPr>
              <w:t xml:space="preserve">210 mg ת"ע כל 4 שבועות</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אסתמה קשה (מגיל 12) כתוספת לטיפול אחזקה, ללא תלות בפנוטיפ</w:t>
            </w:r>
          </w:p>
          <w:p>
            <w:pPr>
              <w:bidi/>
              <w:spacing w:after="20"/>
              <w:jc w:val="right"/>
            </w:pPr>
            <w:r>
              <w:rPr>
                <w:rFonts w:ascii="Arial" w:cs="Arial" w:eastAsia="Arial" w:hAnsi="Arial"/>
                <w:sz w:val="17"/>
                <w:szCs w:val="17"/>
                <w:rtl/>
                <w:lang w:val="he-IL" w:bidi="he-IL"/>
              </w:rPr>
              <w:t xml:space="preserve">CRSwNP (18+) – רשום בישראל</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אסתמה: בסל מגיל 12 (נוסח הסל במאגר, 19.2.2025): אאוזינופילים ≥300 תאים/µL בשתי בדיקות מהשנתיים האחרונות, עם החמרות או סטרואידים פומיים קבועים; או ≤300 תאים/µL בתנאים נוספים וגם לפי מסגרת מעכבי IL-5*</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מומחה ברפואת ריאות או באלרגיה ואימונולוגיה קלינית</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אסתמה מחוץ לתנאי הסל: ביטוח פרטי; ש"מ</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4,779.34 ₪ (עט; במחירון מופיע כ-110MG)</w:t>
            </w:r>
          </w:p>
          <w:p>
            <w:pPr>
              <w:bidi/>
              <w:spacing w:after="20"/>
              <w:jc w:val="right"/>
            </w:pPr>
            <w:r>
              <w:rPr>
                <w:rFonts w:ascii="Arial" w:cs="Arial" w:eastAsia="Arial" w:hAnsi="Arial"/>
                <w:sz w:val="17"/>
                <w:szCs w:val="17"/>
                <w:rtl/>
                <w:lang w:val="he-IL" w:bidi="he-IL"/>
              </w:rPr>
              <w:t xml:space="preserve">חברה: אסטראזנקה</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Exdensur (Depemokimab)</w:t>
            </w:r>
          </w:p>
          <w:p>
            <w:pPr>
              <w:bidi/>
              <w:spacing w:after="20"/>
              <w:jc w:val="right"/>
            </w:pPr>
            <w:r>
              <w:rPr>
                <w:rFonts w:ascii="Arial" w:cs="Arial" w:eastAsia="Arial" w:hAnsi="Arial"/>
                <w:sz w:val="17"/>
                <w:szCs w:val="17"/>
                <w:rtl/>
                <w:lang w:val="he-IL" w:bidi="he-IL"/>
              </w:rPr>
              <w:t xml:space="preserve">הזרקה ת"ע פעמיים בשנה</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Anti-IL-5 ארוך טווח; אסתמה אאוזינופילית קשה, כתוספת לטיפול אחזקה – אינו רשום בישראל (נבדק במאגר 21.10.2026)</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רלוונטי – אינו רשום</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כל רופא (מרשם)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רלוונטי</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חברה: GSK</w:t>
            </w:r>
          </w:p>
          <w:p>
            <w:pPr>
              <w:bidi/>
              <w:spacing w:after="20"/>
              <w:jc w:val="right"/>
            </w:pPr>
            <w:r>
              <w:rPr>
                <w:rFonts w:ascii="Arial" w:cs="Arial" w:eastAsia="Arial" w:hAnsi="Arial"/>
                <w:sz w:val="17"/>
                <w:szCs w:val="17"/>
                <w:rtl/>
                <w:lang w:val="he-IL" w:bidi="he-IL"/>
              </w:rPr>
              <w:t xml:space="preserve">אישור בעולם: FDA 16.12.2025</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Cinqair (Reslizumab 10 mg/ml) – anti-IL-5</w:t>
            </w:r>
          </w:p>
          <w:p>
            <w:pPr>
              <w:bidi/>
              <w:spacing w:after="20"/>
              <w:jc w:val="right"/>
            </w:pPr>
            <w:r>
              <w:rPr>
                <w:rFonts w:ascii="Arial" w:cs="Arial" w:eastAsia="Arial" w:hAnsi="Arial"/>
                <w:sz w:val="17"/>
                <w:szCs w:val="17"/>
                <w:rtl/>
                <w:lang w:val="he-IL" w:bidi="he-IL"/>
              </w:rPr>
              <w:t xml:space="preserve">3 mg/ק"ג עירוי תוך-ורידי כל 4 שבועות</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אסתמה אאוזינופילית קשה (18+) כתוספת לטיפול אחזקה</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אסתמה: בסל (נוסח הסל במאגר, 21.3.2021): אאוזינופילים ≥400 תאים/µL בשתי בדיקות מהשנתיים האחרונות, עם החמרות; או ≤400 תאים/µL עם טיפול קבוע בסטרואידים פומיים. בנוסח הסל: מגיל 12</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מומחה ברפואת ריאות או באלרגיה ואימונולוגיה קלינית</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מחוץ לתנאי הסל: ביטוח פרטי; ש"מ</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2,339.58 ₪ (בקבוקון 10 מ"ל)</w:t>
            </w:r>
          </w:p>
          <w:p>
            <w:pPr>
              <w:bidi/>
              <w:spacing w:after="20"/>
              <w:jc w:val="right"/>
            </w:pPr>
            <w:r>
              <w:rPr>
                <w:rFonts w:ascii="Arial" w:cs="Arial" w:eastAsia="Arial" w:hAnsi="Arial"/>
                <w:sz w:val="17"/>
                <w:szCs w:val="17"/>
                <w:rtl/>
                <w:lang w:val="he-IL" w:bidi="he-IL"/>
              </w:rPr>
              <w:t xml:space="preserve">חברה: טבע</w:t>
            </w:r>
          </w:p>
        </w:tc>
      </w:tr>
      <w:tr>
        <w:trPr>
          <w:cantSplit/>
        </w:trPr>
        <w:tc>
          <w:tcPr>
            <w:tcW w:type="dxa" w:w="15398"/>
            <w:gridSpan w:val="6"/>
            <w:tcBorders>
              <w:top w:val="single" w:color="A6A6A6" w:sz="4"/>
              <w:left w:val="single" w:color="A6A6A6" w:sz="4"/>
              <w:bottom w:val="single" w:color="A6A6A6" w:sz="4"/>
              <w:right w:val="single" w:color="A6A6A6" w:sz="4"/>
            </w:tcBorders>
            <w:shd w:fill="D9E2F3" w:color="auto" w:val="clear"/>
            <w:tcMar>
              <w:top w:type="dxa" w:w="50"/>
              <w:left w:type="dxa" w:w="80"/>
              <w:bottom w:type="dxa" w:w="50"/>
              <w:right w:type="dxa" w:w="80"/>
            </w:tcMar>
          </w:tcPr>
          <w:p>
            <w:pPr>
              <w:bidi/>
              <w:spacing w:after="20"/>
              <w:jc w:val="right"/>
            </w:pPr>
            <w:r>
              <w:rPr>
                <w:rFonts w:ascii="Arial" w:cs="Arial" w:eastAsia="Arial" w:hAnsi="Arial"/>
                <w:b/>
                <w:bCs/>
                <w:sz w:val="19"/>
                <w:szCs w:val="19"/>
                <w:rtl/>
                <w:lang w:val="he-IL" w:bidi="he-IL"/>
              </w:rPr>
              <w:t xml:space="preserve">ו. תרופות פומיות / תומכות – אסתמה ו-COPD</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Montelukast (Singulair וגנריים) 10 mg; 4/5 mg לילדים</w:t>
            </w:r>
          </w:p>
          <w:p>
            <w:pPr>
              <w:bidi/>
              <w:spacing w:after="20"/>
              <w:jc w:val="right"/>
            </w:pPr>
            <w:r>
              <w:rPr>
                <w:rFonts w:ascii="Arial" w:cs="Arial" w:eastAsia="Arial" w:hAnsi="Arial"/>
                <w:sz w:val="17"/>
                <w:szCs w:val="17"/>
                <w:rtl/>
                <w:lang w:val="he-IL" w:bidi="he-IL"/>
              </w:rPr>
              <w:t xml:space="preserve">פעם ביום בערב</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אסתמה (תוספת); מניעת ברונכוספזם במאמץ; נזלת אלרגית</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כל רופא (מרשם)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10 mg (28 טבליות): 70.37 ₪</w:t>
            </w:r>
          </w:p>
          <w:p>
            <w:pPr>
              <w:bidi/>
              <w:spacing w:after="20"/>
              <w:jc w:val="right"/>
            </w:pPr>
            <w:r>
              <w:rPr>
                <w:rFonts w:ascii="Arial" w:cs="Arial" w:eastAsia="Arial" w:hAnsi="Arial"/>
                <w:sz w:val="17"/>
                <w:szCs w:val="17"/>
                <w:rtl/>
                <w:lang w:val="he-IL" w:bidi="he-IL"/>
              </w:rPr>
              <w:t xml:space="preserve">חברה: אורגנון (Singulair)</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Daxas / Daliresp (Roflumilast 500 mcg; 250 mcg ב-4 השבועות הראשונים)</w:t>
            </w:r>
          </w:p>
          <w:p>
            <w:pPr>
              <w:bidi/>
              <w:spacing w:after="20"/>
              <w:jc w:val="right"/>
            </w:pPr>
            <w:r>
              <w:rPr>
                <w:rFonts w:ascii="Arial" w:cs="Arial" w:eastAsia="Arial" w:hAnsi="Arial"/>
                <w:sz w:val="17"/>
                <w:szCs w:val="17"/>
                <w:rtl/>
                <w:lang w:val="he-IL" w:bidi="he-IL"/>
              </w:rPr>
              <w:t xml:space="preserve">פעם ביום</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COPD קשה (FEV1&lt;50%) עם ברונכיטיס כרונית והחמרות תכופות, כתוספת</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 FEV1 ≤50% ושתי החמרות מתועדות לפחות בשנה שקדמה לטיפול</w:t>
            </w:r>
          </w:p>
          <w:p>
            <w:pPr>
              <w:bidi/>
              <w:spacing w:after="20"/>
              <w:jc w:val="right"/>
            </w:pPr>
            <w:r>
              <w:rPr>
                <w:rFonts w:ascii="Arial" w:cs="Arial" w:eastAsia="Arial" w:hAnsi="Arial"/>
                <w:sz w:val="17"/>
                <w:szCs w:val="17"/>
                <w:rtl/>
                <w:lang w:val="he-IL" w:bidi="he-IL"/>
              </w:rPr>
              <w:t xml:space="preserve">הרישום (DALIRESP 500 MCG, רפא) בוטל ב-13.7.2023</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נמצאה הגבלה במאגר</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אם אינו בסל: ביטוח פרטי; ש"מ</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מופיע במחירון</w:t>
            </w:r>
          </w:p>
          <w:p>
            <w:pPr>
              <w:bidi/>
              <w:spacing w:after="20"/>
              <w:jc w:val="right"/>
            </w:pPr>
            <w:r>
              <w:rPr>
                <w:rFonts w:ascii="Arial" w:cs="Arial" w:eastAsia="Arial" w:hAnsi="Arial"/>
                <w:sz w:val="17"/>
                <w:szCs w:val="17"/>
                <w:rtl/>
                <w:lang w:val="he-IL" w:bidi="he-IL"/>
              </w:rPr>
              <w:t xml:space="preserve">חברה: רפא (בעל הרישום)</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Theophylline SR (Theotrim)</w:t>
            </w:r>
          </w:p>
          <w:p>
            <w:pPr>
              <w:bidi/>
              <w:spacing w:after="20"/>
              <w:jc w:val="right"/>
            </w:pPr>
            <w:r>
              <w:rPr>
                <w:rFonts w:ascii="Arial" w:cs="Arial" w:eastAsia="Arial" w:hAnsi="Arial"/>
                <w:sz w:val="17"/>
                <w:szCs w:val="17"/>
                <w:rtl/>
                <w:lang w:val="he-IL" w:bidi="he-IL"/>
              </w:rPr>
              <w:t xml:space="preserve">200–400 mg פעמיים ביום, לפי רמות בדם</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אסתמה ו-COPD (קו מתקדם)</w:t>
            </w:r>
          </w:p>
          <w:p>
            <w:pPr>
              <w:bidi/>
              <w:spacing w:after="20"/>
              <w:jc w:val="right"/>
            </w:pPr>
            <w:r>
              <w:rPr>
                <w:rFonts w:ascii="Arial" w:cs="Arial" w:eastAsia="Arial" w:hAnsi="Arial"/>
                <w:sz w:val="17"/>
                <w:szCs w:val="17"/>
                <w:rtl/>
                <w:lang w:val="he-IL" w:bidi="he-IL"/>
              </w:rPr>
              <w:t xml:space="preserve">הערה: בהנחיות GINA (לפי סיכום GINA 2025) תיאופילין פומי אינו מופיע בין הטיפולים המומלצים באסתמה, אלא תחת טיפולים שאינם מומלצים, בגלל תופעות לוואי.</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כל רופא (מרשם)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100 mg: 10.64 ₪</w:t>
            </w:r>
          </w:p>
          <w:p>
            <w:pPr>
              <w:bidi/>
              <w:spacing w:after="20"/>
              <w:jc w:val="right"/>
            </w:pPr>
            <w:r>
              <w:rPr>
                <w:rFonts w:ascii="Arial" w:cs="Arial" w:eastAsia="Arial" w:hAnsi="Arial"/>
                <w:sz w:val="17"/>
                <w:szCs w:val="17"/>
                <w:rtl/>
                <w:lang w:val="he-IL" w:bidi="he-IL"/>
              </w:rPr>
              <w:t xml:space="preserve">200 mg: 12.51 ₪</w:t>
            </w:r>
          </w:p>
          <w:p>
            <w:pPr>
              <w:bidi/>
              <w:spacing w:after="20"/>
              <w:jc w:val="right"/>
            </w:pPr>
            <w:r>
              <w:rPr>
                <w:rFonts w:ascii="Arial" w:cs="Arial" w:eastAsia="Arial" w:hAnsi="Arial"/>
                <w:sz w:val="17"/>
                <w:szCs w:val="17"/>
                <w:rtl/>
                <w:lang w:val="he-IL" w:bidi="he-IL"/>
              </w:rPr>
              <w:t xml:space="preserve">300 mg: 15.09 ₪</w:t>
            </w:r>
          </w:p>
          <w:p>
            <w:pPr>
              <w:bidi/>
              <w:spacing w:after="20"/>
              <w:jc w:val="right"/>
            </w:pPr>
            <w:r>
              <w:rPr>
                <w:rFonts w:ascii="Arial" w:cs="Arial" w:eastAsia="Arial" w:hAnsi="Arial"/>
                <w:sz w:val="17"/>
                <w:szCs w:val="17"/>
                <w:rtl/>
                <w:lang w:val="he-IL" w:bidi="he-IL"/>
              </w:rPr>
              <w:t xml:space="preserve">(30 טבליות)</w:t>
            </w:r>
          </w:p>
          <w:p>
            <w:pPr>
              <w:bidi/>
              <w:spacing w:after="20"/>
              <w:jc w:val="right"/>
            </w:pPr>
            <w:r>
              <w:rPr>
                <w:rFonts w:ascii="Arial" w:cs="Arial" w:eastAsia="Arial" w:hAnsi="Arial"/>
                <w:sz w:val="17"/>
                <w:szCs w:val="17"/>
                <w:rtl/>
                <w:lang w:val="he-IL" w:bidi="he-IL"/>
              </w:rPr>
              <w:t xml:space="preserve">חברה: תרימה</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Azithromycin 250 mg ×3 בשבוע או 250 mg/יום; חלופה: 500 mg ×3 בשבוע (אחזקה/מניעת החמרות)</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רשומה לזיהומים; מניעת החמרות ב-COPD/ברונכיאקטזיות – שימוש off-label</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 (לרוב)</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כל רופא (מרשם)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לרוב לא נדרש (עלות נמוכה)</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250 mg (6 קפסולות, אינובמד): 33.48 ₪</w:t>
            </w:r>
          </w:p>
          <w:p>
            <w:pPr>
              <w:bidi/>
              <w:spacing w:after="20"/>
              <w:jc w:val="right"/>
            </w:pPr>
            <w:r>
              <w:rPr>
                <w:rFonts w:ascii="Arial" w:cs="Arial" w:eastAsia="Arial" w:hAnsi="Arial"/>
                <w:sz w:val="17"/>
                <w:szCs w:val="17"/>
                <w:rtl/>
                <w:lang w:val="he-IL" w:bidi="he-IL"/>
              </w:rPr>
              <w:t xml:space="preserve">חברה: אינובמד</w:t>
            </w:r>
          </w:p>
        </w:tc>
      </w:tr>
      <w:tr>
        <w:trPr>
          <w:cantSplit/>
        </w:trPr>
        <w:tc>
          <w:tcPr>
            <w:tcW w:type="dxa" w:w="15398"/>
            <w:gridSpan w:val="6"/>
            <w:tcBorders>
              <w:top w:val="single" w:color="A6A6A6" w:sz="4"/>
              <w:left w:val="single" w:color="A6A6A6" w:sz="4"/>
              <w:bottom w:val="single" w:color="A6A6A6" w:sz="4"/>
              <w:right w:val="single" w:color="A6A6A6" w:sz="4"/>
            </w:tcBorders>
            <w:shd w:fill="D9E2F3" w:color="auto" w:val="clear"/>
            <w:tcMar>
              <w:top w:type="dxa" w:w="50"/>
              <w:left w:type="dxa" w:w="80"/>
              <w:bottom w:type="dxa" w:w="50"/>
              <w:right w:type="dxa" w:w="80"/>
            </w:tcMar>
          </w:tcPr>
          <w:p>
            <w:pPr>
              <w:bidi/>
              <w:spacing w:after="20"/>
              <w:jc w:val="right"/>
            </w:pPr>
            <w:r>
              <w:rPr>
                <w:rFonts w:ascii="Arial" w:cs="Arial" w:eastAsia="Arial" w:hAnsi="Arial"/>
                <w:b/>
                <w:bCs/>
                <w:sz w:val="19"/>
                <w:szCs w:val="19"/>
                <w:rtl/>
                <w:lang w:val="he-IL" w:bidi="he-IL"/>
              </w:rPr>
              <w:t xml:space="preserve">ז. נוגדי פיברוזיס / ILD</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Ofev (Nintedanib 100/150 mg)</w:t>
            </w:r>
          </w:p>
          <w:p>
            <w:pPr>
              <w:bidi/>
              <w:spacing w:after="20"/>
              <w:jc w:val="right"/>
            </w:pPr>
            <w:r>
              <w:rPr>
                <w:rFonts w:ascii="Arial" w:cs="Arial" w:eastAsia="Arial" w:hAnsi="Arial"/>
                <w:sz w:val="17"/>
                <w:szCs w:val="17"/>
                <w:rtl/>
                <w:lang w:val="he-IL" w:bidi="he-IL"/>
              </w:rPr>
              <w:t xml:space="preserve">150 mg פעמיים ביום (100 mg פעמיים ביום באי-סבילות)</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IPF; ILD פיברוטית פרוגרסיבית (PF-ILD); SSc-ILD</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מומחה ברפואת ריאות; בחלק מההתוויות גם מומחה בראומטולוגיה</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100 mg: 6,520.71 ₪</w:t>
            </w:r>
          </w:p>
          <w:p>
            <w:pPr>
              <w:bidi/>
              <w:spacing w:after="20"/>
              <w:jc w:val="right"/>
            </w:pPr>
            <w:r>
              <w:rPr>
                <w:rFonts w:ascii="Arial" w:cs="Arial" w:eastAsia="Arial" w:hAnsi="Arial"/>
                <w:sz w:val="17"/>
                <w:szCs w:val="17"/>
                <w:rtl/>
                <w:lang w:val="he-IL" w:bidi="he-IL"/>
              </w:rPr>
              <w:t xml:space="preserve">150 mg: 8,687.88 ₪</w:t>
            </w:r>
          </w:p>
          <w:p>
            <w:pPr>
              <w:bidi/>
              <w:spacing w:after="20"/>
              <w:jc w:val="right"/>
            </w:pPr>
            <w:r>
              <w:rPr>
                <w:rFonts w:ascii="Arial" w:cs="Arial" w:eastAsia="Arial" w:hAnsi="Arial"/>
                <w:sz w:val="17"/>
                <w:szCs w:val="17"/>
                <w:rtl/>
                <w:lang w:val="he-IL" w:bidi="he-IL"/>
              </w:rPr>
              <w:t xml:space="preserve">(60 קפסולות)</w:t>
            </w:r>
          </w:p>
          <w:p>
            <w:pPr>
              <w:bidi/>
              <w:spacing w:after="20"/>
              <w:jc w:val="right"/>
            </w:pPr>
            <w:r>
              <w:rPr>
                <w:rFonts w:ascii="Arial" w:cs="Arial" w:eastAsia="Arial" w:hAnsi="Arial"/>
                <w:sz w:val="17"/>
                <w:szCs w:val="17"/>
                <w:rtl/>
                <w:lang w:val="he-IL" w:bidi="he-IL"/>
              </w:rPr>
              <w:t xml:space="preserve">חברה: בורינגר אינגלהיים</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Pirfenidone (Esbriet וגנריים) 267/801 mg</w:t>
            </w:r>
          </w:p>
          <w:p>
            <w:pPr>
              <w:bidi/>
              <w:spacing w:after="20"/>
              <w:jc w:val="right"/>
            </w:pPr>
            <w:r>
              <w:rPr>
                <w:rFonts w:ascii="Arial" w:cs="Arial" w:eastAsia="Arial" w:hAnsi="Arial"/>
                <w:sz w:val="17"/>
                <w:szCs w:val="17"/>
                <w:rtl/>
                <w:lang w:val="he-IL" w:bidi="he-IL"/>
              </w:rPr>
              <w:t xml:space="preserve">טיטרציה ל-801 mg שלוש פעמים ביום</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IPF</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נמצאה הגבלה במאגר</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PF-ILD (off-label): ביטוח פרטי; ש"מ</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Esbriet 267 (90): 2,115.53 ₪</w:t>
            </w:r>
          </w:p>
          <w:p>
            <w:pPr>
              <w:bidi/>
              <w:spacing w:after="20"/>
              <w:jc w:val="right"/>
            </w:pPr>
            <w:r>
              <w:rPr>
                <w:rFonts w:ascii="Arial" w:cs="Arial" w:eastAsia="Arial" w:hAnsi="Arial"/>
                <w:sz w:val="17"/>
                <w:szCs w:val="17"/>
                <w:rtl/>
                <w:lang w:val="he-IL" w:bidi="he-IL"/>
              </w:rPr>
              <w:t xml:space="preserve">Esbriet 801 (90): 7,493.90 ₪</w:t>
            </w:r>
          </w:p>
          <w:p>
            <w:pPr>
              <w:bidi/>
              <w:spacing w:after="20"/>
              <w:jc w:val="right"/>
            </w:pPr>
            <w:r>
              <w:rPr>
                <w:rFonts w:ascii="Arial" w:cs="Arial" w:eastAsia="Arial" w:hAnsi="Arial"/>
                <w:sz w:val="17"/>
                <w:szCs w:val="17"/>
                <w:rtl/>
                <w:lang w:val="he-IL" w:bidi="he-IL"/>
              </w:rPr>
              <w:t xml:space="preserve">Sandoz 267 (63): 1,480.87 ₪</w:t>
            </w:r>
          </w:p>
          <w:p>
            <w:pPr>
              <w:bidi/>
              <w:spacing w:after="20"/>
              <w:jc w:val="right"/>
            </w:pPr>
            <w:r>
              <w:rPr>
                <w:rFonts w:ascii="Arial" w:cs="Arial" w:eastAsia="Arial" w:hAnsi="Arial"/>
                <w:sz w:val="17"/>
                <w:szCs w:val="17"/>
                <w:rtl/>
                <w:lang w:val="he-IL" w:bidi="he-IL"/>
              </w:rPr>
              <w:t xml:space="preserve">Sandoz 801 (84): 6,994.31 ₪</w:t>
            </w:r>
          </w:p>
          <w:p>
            <w:pPr>
              <w:bidi/>
              <w:spacing w:after="20"/>
              <w:jc w:val="right"/>
            </w:pPr>
            <w:r>
              <w:rPr>
                <w:rFonts w:ascii="Arial" w:cs="Arial" w:eastAsia="Arial" w:hAnsi="Arial"/>
                <w:sz w:val="17"/>
                <w:szCs w:val="17"/>
                <w:rtl/>
                <w:lang w:val="he-IL" w:bidi="he-IL"/>
              </w:rPr>
              <w:t xml:space="preserve">חברה: Esbriet: רוש; Sandoz: סנדוז</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Mycophenolate mofetil (CellCept 250/500 mg; Mycophenolate Teva 500 mg)</w:t>
            </w:r>
          </w:p>
          <w:p>
            <w:pPr>
              <w:bidi/>
              <w:spacing w:after="20"/>
              <w:jc w:val="right"/>
            </w:pPr>
            <w:r>
              <w:rPr>
                <w:rFonts w:ascii="Arial" w:cs="Arial" w:eastAsia="Arial" w:hAnsi="Arial"/>
                <w:sz w:val="17"/>
                <w:szCs w:val="17"/>
                <w:rtl/>
                <w:lang w:val="he-IL" w:bidi="he-IL"/>
              </w:rPr>
              <w:t xml:space="preserve">500–1500 מ"ג פעמיים ביום (טווח לפי ERS 2021 לסרקואידוזיס; ב-SSc-ILD נהוג עד 3 גרם ליום בשתי מנות)</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מניעת דחיית שתל (כליה, לב, כבד). ILD אינה התוויה רשומה</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 נפריטיס לופוס פעילה והשתלות (כליה, לב, כבד, ריאה)</w:t>
            </w:r>
          </w:p>
          <w:p>
            <w:pPr>
              <w:bidi/>
              <w:spacing w:after="20"/>
              <w:jc w:val="right"/>
            </w:pPr>
            <w:r>
              <w:rPr>
                <w:rFonts w:ascii="Arial" w:cs="Arial" w:eastAsia="Arial" w:hAnsi="Arial"/>
                <w:sz w:val="17"/>
                <w:szCs w:val="17"/>
                <w:rtl/>
                <w:lang w:val="he-IL" w:bidi="he-IL"/>
              </w:rPr>
              <w:t xml:space="preserve">ILD: לא 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נמצאה הגבלה במאגר</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ש"מ (בסל אך לא להתוויה) באישור מראש; ביטוח פרטי לפי הפוליסה</w:t>
            </w:r>
          </w:p>
          <w:p>
            <w:pPr>
              <w:bidi/>
              <w:spacing w:after="20"/>
              <w:jc w:val="right"/>
            </w:pPr>
            <w:r>
              <w:rPr>
                <w:rFonts w:ascii="Arial" w:cs="Arial" w:eastAsia="Arial" w:hAnsi="Arial"/>
                <w:sz w:val="17"/>
                <w:szCs w:val="17"/>
                <w:rtl/>
                <w:lang w:val="he-IL" w:bidi="he-IL"/>
              </w:rPr>
              <w:t xml:space="preserve"> לפי הערת ענבל שפרן נדרש טופס 29ג מוסדי ל-ILD (לא אומת, ראו הערות בסוף)</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CellCept 500 (50 טבליות): 321.20 ₪</w:t>
            </w:r>
          </w:p>
          <w:p>
            <w:pPr>
              <w:bidi/>
              <w:spacing w:after="20"/>
              <w:jc w:val="right"/>
            </w:pPr>
            <w:r>
              <w:rPr>
                <w:rFonts w:ascii="Arial" w:cs="Arial" w:eastAsia="Arial" w:hAnsi="Arial"/>
                <w:sz w:val="17"/>
                <w:szCs w:val="17"/>
                <w:rtl/>
                <w:lang w:val="he-IL" w:bidi="he-IL"/>
              </w:rPr>
              <w:t xml:space="preserve">CellCept 250 (100 קפסולות): 321.40 ₪</w:t>
            </w:r>
          </w:p>
          <w:p>
            <w:pPr>
              <w:bidi/>
              <w:spacing w:after="20"/>
              <w:jc w:val="right"/>
            </w:pPr>
            <w:r>
              <w:rPr>
                <w:rFonts w:ascii="Arial" w:cs="Arial" w:eastAsia="Arial" w:hAnsi="Arial"/>
                <w:sz w:val="17"/>
                <w:szCs w:val="17"/>
                <w:rtl/>
                <w:lang w:val="he-IL" w:bidi="he-IL"/>
              </w:rPr>
              <w:t xml:space="preserve">Teva 500 (50 טבליות): 321.20 ₪</w:t>
            </w:r>
          </w:p>
          <w:p>
            <w:pPr>
              <w:bidi/>
              <w:spacing w:after="20"/>
              <w:jc w:val="right"/>
            </w:pPr>
            <w:r>
              <w:rPr>
                <w:rFonts w:ascii="Arial" w:cs="Arial" w:eastAsia="Arial" w:hAnsi="Arial"/>
                <w:sz w:val="17"/>
                <w:szCs w:val="17"/>
                <w:rtl/>
                <w:lang w:val="he-IL" w:bidi="he-IL"/>
              </w:rPr>
              <w:t xml:space="preserve">חברה: רוש (CellCept); טבע</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Azathioprine (Imuran 25/50 mg)</w:t>
            </w:r>
          </w:p>
          <w:p>
            <w:pPr>
              <w:bidi/>
              <w:spacing w:after="20"/>
              <w:jc w:val="right"/>
            </w:pPr>
            <w:r>
              <w:rPr>
                <w:rFonts w:ascii="Arial" w:cs="Arial" w:eastAsia="Arial" w:hAnsi="Arial"/>
                <w:sz w:val="17"/>
                <w:szCs w:val="17"/>
                <w:rtl/>
                <w:lang w:val="he-IL" w:bidi="he-IL"/>
              </w:rPr>
              <w:t xml:space="preserve">50–250 מ"ג ליום (1–2.5 מ"ג/ק"ג) לפי ERS 2021</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השתלות, דלקת מפרקים ראומטואידית ומחלות אוטואימוניות. ILD אינה התוויה רשומה</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 דלקת מפרקים ראומטואידית קשה והשתלות (כליה, ריאה)</w:t>
            </w:r>
          </w:p>
          <w:p>
            <w:pPr>
              <w:bidi/>
              <w:spacing w:after="20"/>
              <w:jc w:val="right"/>
            </w:pPr>
            <w:r>
              <w:rPr>
                <w:rFonts w:ascii="Arial" w:cs="Arial" w:eastAsia="Arial" w:hAnsi="Arial"/>
                <w:sz w:val="17"/>
                <w:szCs w:val="17"/>
                <w:rtl/>
                <w:lang w:val="he-IL" w:bidi="he-IL"/>
              </w:rPr>
              <w:t xml:space="preserve">ILD: לא 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נמצאה הגבלה במאגר</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ש"מ (בסל אך לא להתוויה) באישור מראש</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Imuran 25 (100 טבליות): 53.18 ₪</w:t>
            </w:r>
          </w:p>
          <w:p>
            <w:pPr>
              <w:bidi/>
              <w:spacing w:after="20"/>
              <w:jc w:val="right"/>
            </w:pPr>
            <w:r>
              <w:rPr>
                <w:rFonts w:ascii="Arial" w:cs="Arial" w:eastAsia="Arial" w:hAnsi="Arial"/>
                <w:sz w:val="17"/>
                <w:szCs w:val="17"/>
                <w:rtl/>
                <w:lang w:val="he-IL" w:bidi="he-IL"/>
              </w:rPr>
              <w:t xml:space="preserve">Imuran 50 (100 טבליות): 66.62 ₪</w:t>
            </w:r>
          </w:p>
          <w:p>
            <w:pPr>
              <w:bidi/>
              <w:spacing w:after="20"/>
              <w:jc w:val="right"/>
            </w:pPr>
            <w:r>
              <w:rPr>
                <w:rFonts w:ascii="Arial" w:cs="Arial" w:eastAsia="Arial" w:hAnsi="Arial"/>
                <w:sz w:val="17"/>
                <w:szCs w:val="17"/>
                <w:rtl/>
                <w:lang w:val="he-IL" w:bidi="he-IL"/>
              </w:rPr>
              <w:t xml:space="preserve">חברה: פאדאגיס (Imuran)</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Methotrexate (טבליות 2.5 mg)</w:t>
            </w:r>
          </w:p>
          <w:p>
            <w:pPr>
              <w:bidi/>
              <w:spacing w:after="20"/>
              <w:jc w:val="right"/>
            </w:pPr>
            <w:r>
              <w:rPr>
                <w:rFonts w:ascii="Arial" w:cs="Arial" w:eastAsia="Arial" w:hAnsi="Arial"/>
                <w:sz w:val="17"/>
                <w:szCs w:val="17"/>
                <w:rtl/>
                <w:lang w:val="he-IL" w:bidi="he-IL"/>
              </w:rPr>
              <w:t xml:space="preserve">10–25 מ"ג פעם בשבוע (ERS 2021 לסרקואידוזיס: 10–15 מ"ג), עם חומצה פולית</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ממאירות, דלקת מפרקים ראומטואידית, פסוריאזיס. ILD אינה התוויה רשומה</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ILD: לא נמצא סעיף 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נמצאה הגבלה במאגר</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לפי תנאי הקופה או הפוליסה</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Ebewe 2.5 mg (50): 40.18 ₪</w:t>
            </w:r>
          </w:p>
          <w:p>
            <w:pPr>
              <w:bidi/>
              <w:spacing w:after="20"/>
              <w:jc w:val="right"/>
            </w:pPr>
            <w:r>
              <w:rPr>
                <w:rFonts w:ascii="Arial" w:cs="Arial" w:eastAsia="Arial" w:hAnsi="Arial"/>
                <w:sz w:val="17"/>
                <w:szCs w:val="17"/>
                <w:rtl/>
                <w:lang w:val="he-IL" w:bidi="he-IL"/>
              </w:rPr>
              <w:t xml:space="preserve">Sandoz 2.5 mg (30): 24.10 ₪</w:t>
            </w:r>
          </w:p>
          <w:p>
            <w:pPr>
              <w:bidi/>
              <w:spacing w:after="20"/>
              <w:jc w:val="right"/>
            </w:pPr>
            <w:r>
              <w:rPr>
                <w:rFonts w:ascii="Arial" w:cs="Arial" w:eastAsia="Arial" w:hAnsi="Arial"/>
                <w:sz w:val="17"/>
                <w:szCs w:val="17"/>
                <w:rtl/>
                <w:lang w:val="he-IL" w:bidi="he-IL"/>
              </w:rPr>
              <w:t xml:space="preserve">חברה: סנדוז</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Jascayd (Nerandomilast 9/18 mg)</w:t>
            </w:r>
          </w:p>
          <w:p>
            <w:pPr>
              <w:bidi/>
              <w:spacing w:after="20"/>
              <w:jc w:val="right"/>
            </w:pPr>
            <w:r>
              <w:rPr>
                <w:rFonts w:ascii="Arial" w:cs="Arial" w:eastAsia="Arial" w:hAnsi="Arial"/>
                <w:sz w:val="17"/>
                <w:szCs w:val="17"/>
                <w:rtl/>
                <w:lang w:val="he-IL" w:bidi="he-IL"/>
              </w:rPr>
              <w:t xml:space="preserve">מינון לפי העלון</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IPF; PPF (מבוגרים). רשום בישראל מ-18.10.2026, בעל הרישום: בורינגר אינגלהיים ישראל</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בסל (טרם נקבע סטטוס)</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רלוונטי (לא בסל)</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ביטוח פרטי לפי תנאי הפוליסה</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מופיע במחירון</w:t>
            </w:r>
          </w:p>
          <w:p>
            <w:pPr>
              <w:bidi/>
              <w:spacing w:after="20"/>
              <w:jc w:val="right"/>
            </w:pPr>
            <w:r>
              <w:rPr>
                <w:rFonts w:ascii="Arial" w:cs="Arial" w:eastAsia="Arial" w:hAnsi="Arial"/>
                <w:sz w:val="17"/>
                <w:szCs w:val="17"/>
                <w:rtl/>
                <w:lang w:val="he-IL" w:bidi="he-IL"/>
              </w:rPr>
              <w:t xml:space="preserve">חברה: בורינגר אינגלהיים</w:t>
            </w:r>
          </w:p>
        </w:tc>
      </w:tr>
      <w:tr>
        <w:trPr>
          <w:cantSplit/>
        </w:trPr>
        <w:tc>
          <w:tcPr>
            <w:tcW w:type="dxa" w:w="15398"/>
            <w:gridSpan w:val="6"/>
            <w:tcBorders>
              <w:top w:val="single" w:color="A6A6A6" w:sz="4"/>
              <w:left w:val="single" w:color="A6A6A6" w:sz="4"/>
              <w:bottom w:val="single" w:color="A6A6A6" w:sz="4"/>
              <w:right w:val="single" w:color="A6A6A6" w:sz="4"/>
            </w:tcBorders>
            <w:shd w:fill="D9E2F3" w:color="auto" w:val="clear"/>
            <w:tcMar>
              <w:top w:type="dxa" w:w="50"/>
              <w:left w:type="dxa" w:w="80"/>
              <w:bottom w:type="dxa" w:w="50"/>
              <w:right w:type="dxa" w:w="80"/>
            </w:tcMar>
          </w:tcPr>
          <w:p>
            <w:pPr>
              <w:bidi/>
              <w:spacing w:after="20"/>
              <w:jc w:val="right"/>
            </w:pPr>
            <w:r>
              <w:rPr>
                <w:rFonts w:ascii="Arial" w:cs="Arial" w:eastAsia="Arial" w:hAnsi="Arial"/>
                <w:b/>
                <w:bCs/>
                <w:sz w:val="19"/>
                <w:szCs w:val="19"/>
                <w:rtl/>
                <w:lang w:val="he-IL" w:bidi="he-IL"/>
              </w:rPr>
              <w:t xml:space="preserve">ח. יתר לחץ דם ריאתי (PHT: PAH / CTEPH)</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Bosentan (Tracleer וגנריים)</w:t>
            </w:r>
          </w:p>
          <w:p>
            <w:pPr>
              <w:bidi/>
              <w:spacing w:after="20"/>
              <w:jc w:val="right"/>
            </w:pPr>
            <w:r>
              <w:rPr>
                <w:rFonts w:ascii="Arial" w:cs="Arial" w:eastAsia="Arial" w:hAnsi="Arial"/>
                <w:sz w:val="17"/>
                <w:szCs w:val="17"/>
                <w:rtl/>
                <w:lang w:val="he-IL" w:bidi="he-IL"/>
              </w:rPr>
              <w:t xml:space="preserve">62.5 mg BID ×4 שבועות, ואחר כך 125 mg BID</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PAH (FC II–III); כיבים דיגיטליים ב-SSc</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נמצאה הגבלה במאגר</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Tracleer 62.5 (60): 5,015.79 ₪</w:t>
            </w:r>
          </w:p>
          <w:p>
            <w:pPr>
              <w:bidi/>
              <w:spacing w:after="20"/>
              <w:jc w:val="right"/>
            </w:pPr>
            <w:r>
              <w:rPr>
                <w:rFonts w:ascii="Arial" w:cs="Arial" w:eastAsia="Arial" w:hAnsi="Arial"/>
                <w:sz w:val="17"/>
                <w:szCs w:val="17"/>
                <w:rtl/>
                <w:lang w:val="he-IL" w:bidi="he-IL"/>
              </w:rPr>
              <w:t xml:space="preserve">Tracleer 125 (60): 5,598.67 ₪</w:t>
            </w:r>
          </w:p>
          <w:p>
            <w:pPr>
              <w:bidi/>
              <w:spacing w:after="20"/>
              <w:jc w:val="right"/>
            </w:pPr>
            <w:r>
              <w:rPr>
                <w:rFonts w:ascii="Arial" w:cs="Arial" w:eastAsia="Arial" w:hAnsi="Arial"/>
                <w:sz w:val="17"/>
                <w:szCs w:val="17"/>
                <w:rtl/>
                <w:lang w:val="he-IL" w:bidi="he-IL"/>
              </w:rPr>
              <w:t xml:space="preserve">Taro 62.5 (56): 3,011.71 ₪</w:t>
            </w:r>
          </w:p>
          <w:p>
            <w:pPr>
              <w:bidi/>
              <w:spacing w:after="20"/>
              <w:jc w:val="right"/>
            </w:pPr>
            <w:r>
              <w:rPr>
                <w:rFonts w:ascii="Arial" w:cs="Arial" w:eastAsia="Arial" w:hAnsi="Arial"/>
                <w:sz w:val="17"/>
                <w:szCs w:val="17"/>
                <w:rtl/>
                <w:lang w:val="he-IL" w:bidi="he-IL"/>
              </w:rPr>
              <w:t xml:space="preserve">Taro 125 (56): 3,200.45 ₪</w:t>
            </w:r>
          </w:p>
          <w:p>
            <w:pPr>
              <w:bidi/>
              <w:spacing w:after="20"/>
              <w:jc w:val="right"/>
            </w:pPr>
            <w:r>
              <w:rPr>
                <w:rFonts w:ascii="Arial" w:cs="Arial" w:eastAsia="Arial" w:hAnsi="Arial"/>
                <w:sz w:val="17"/>
                <w:szCs w:val="17"/>
                <w:rtl/>
                <w:lang w:val="he-IL" w:bidi="he-IL"/>
              </w:rPr>
              <w:t xml:space="preserve">חברה: Tracleer: יאנסן; Taro: תרו</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Ambrisentan (Volibris וגנריים)</w:t>
            </w:r>
          </w:p>
          <w:p>
            <w:pPr>
              <w:bidi/>
              <w:spacing w:after="20"/>
              <w:jc w:val="right"/>
            </w:pPr>
            <w:r>
              <w:rPr>
                <w:rFonts w:ascii="Arial" w:cs="Arial" w:eastAsia="Arial" w:hAnsi="Arial"/>
                <w:sz w:val="17"/>
                <w:szCs w:val="17"/>
                <w:rtl/>
                <w:lang w:val="he-IL" w:bidi="he-IL"/>
              </w:rPr>
              <w:t xml:space="preserve">5–10 mg פעם ביום</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PAH</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נמצאה הגבלה במאגר</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5 mg (30): 3,974.70 ₪</w:t>
            </w:r>
          </w:p>
          <w:p>
            <w:pPr>
              <w:bidi/>
              <w:spacing w:after="20"/>
              <w:jc w:val="right"/>
            </w:pPr>
            <w:r>
              <w:rPr>
                <w:rFonts w:ascii="Arial" w:cs="Arial" w:eastAsia="Arial" w:hAnsi="Arial"/>
                <w:sz w:val="17"/>
                <w:szCs w:val="17"/>
                <w:rtl/>
                <w:lang w:val="he-IL" w:bidi="he-IL"/>
              </w:rPr>
              <w:t xml:space="preserve">10 mg (30): 4,039.99 ₪</w:t>
            </w:r>
          </w:p>
          <w:p>
            <w:pPr>
              <w:bidi/>
              <w:spacing w:after="20"/>
              <w:jc w:val="right"/>
            </w:pPr>
            <w:r>
              <w:rPr>
                <w:rFonts w:ascii="Arial" w:cs="Arial" w:eastAsia="Arial" w:hAnsi="Arial"/>
                <w:sz w:val="17"/>
                <w:szCs w:val="17"/>
                <w:rtl/>
                <w:lang w:val="he-IL" w:bidi="he-IL"/>
              </w:rPr>
              <w:t xml:space="preserve">חברה: ג.ס.ק (Volibris)</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Macitentan (Opsumit 10 mg)</w:t>
            </w:r>
          </w:p>
          <w:p>
            <w:pPr>
              <w:bidi/>
              <w:spacing w:after="20"/>
              <w:jc w:val="right"/>
            </w:pPr>
            <w:r>
              <w:rPr>
                <w:rFonts w:ascii="Arial" w:cs="Arial" w:eastAsia="Arial" w:hAnsi="Arial"/>
                <w:sz w:val="17"/>
                <w:szCs w:val="17"/>
                <w:rtl/>
                <w:lang w:val="he-IL" w:bidi="he-IL"/>
              </w:rPr>
              <w:t xml:space="preserve">פעם ביום</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PAH</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נמצאה הגבלה במאגר</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8,985.81 ₪ (30 טבליות)</w:t>
            </w:r>
          </w:p>
          <w:p>
            <w:pPr>
              <w:bidi/>
              <w:spacing w:after="20"/>
              <w:jc w:val="right"/>
            </w:pPr>
            <w:r>
              <w:rPr>
                <w:rFonts w:ascii="Arial" w:cs="Arial" w:eastAsia="Arial" w:hAnsi="Arial"/>
                <w:sz w:val="17"/>
                <w:szCs w:val="17"/>
                <w:rtl/>
                <w:lang w:val="he-IL" w:bidi="he-IL"/>
              </w:rPr>
              <w:t xml:space="preserve">חברה: יאנסן</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Opsynvi (Macitentan/Tadalafil 10/40 mg)</w:t>
            </w:r>
          </w:p>
          <w:p>
            <w:pPr>
              <w:bidi/>
              <w:spacing w:after="20"/>
              <w:jc w:val="right"/>
            </w:pPr>
            <w:r>
              <w:rPr>
                <w:rFonts w:ascii="Arial" w:cs="Arial" w:eastAsia="Arial" w:hAnsi="Arial"/>
                <w:sz w:val="17"/>
                <w:szCs w:val="17"/>
                <w:rtl/>
                <w:lang w:val="he-IL" w:bidi="he-IL"/>
              </w:rPr>
              <w:t xml:space="preserve">טבליה אחת ביום</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משולב בכדור אחד של חוסם קולטן אנדותלין (ERA) ומעכב PDE5, כטיפול משולב ב-PAH. אינו רשום בישראל</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רלוונטי – אינו רשום</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רלוונטי</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רלוונטי</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רלוונטי</w:t>
            </w:r>
          </w:p>
          <w:p>
            <w:pPr>
              <w:bidi/>
              <w:spacing w:after="20"/>
              <w:jc w:val="right"/>
            </w:pPr>
            <w:r>
              <w:rPr>
                <w:rFonts w:ascii="Arial" w:cs="Arial" w:eastAsia="Arial" w:hAnsi="Arial"/>
                <w:sz w:val="17"/>
                <w:szCs w:val="17"/>
                <w:rtl/>
                <w:lang w:val="he-IL" w:bidi="he-IL"/>
              </w:rPr>
              <w:t xml:space="preserve">חברה: טבע (Tadalis)</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Sildenafil (Revatio וגנריים) 20 mg</w:t>
            </w:r>
          </w:p>
          <w:p>
            <w:pPr>
              <w:bidi/>
              <w:spacing w:after="20"/>
              <w:jc w:val="right"/>
            </w:pPr>
            <w:r>
              <w:rPr>
                <w:rFonts w:ascii="Arial" w:cs="Arial" w:eastAsia="Arial" w:hAnsi="Arial"/>
                <w:sz w:val="17"/>
                <w:szCs w:val="17"/>
                <w:rtl/>
                <w:lang w:val="he-IL" w:bidi="he-IL"/>
              </w:rPr>
              <w:t xml:space="preserve">שלוש פעמים ביום</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PAH</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נמצאה הגבלה במאגר</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Revatio 20 mg (90): 2,322.67 ₪</w:t>
            </w:r>
          </w:p>
          <w:p>
            <w:pPr>
              <w:bidi/>
              <w:spacing w:after="20"/>
              <w:jc w:val="right"/>
            </w:pPr>
            <w:r>
              <w:rPr>
                <w:rFonts w:ascii="Arial" w:cs="Arial" w:eastAsia="Arial" w:hAnsi="Arial"/>
                <w:sz w:val="17"/>
                <w:szCs w:val="17"/>
                <w:rtl/>
                <w:lang w:val="he-IL" w:bidi="he-IL"/>
              </w:rPr>
              <w:t xml:space="preserve">חברה: דקסל פארמה (Revatio)</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Tadalafil 20 mg</w:t>
            </w:r>
          </w:p>
          <w:p>
            <w:pPr>
              <w:bidi/>
              <w:spacing w:after="20"/>
              <w:jc w:val="right"/>
            </w:pPr>
            <w:r>
              <w:rPr>
                <w:rFonts w:ascii="Arial" w:cs="Arial" w:eastAsia="Arial" w:hAnsi="Arial"/>
                <w:sz w:val="17"/>
                <w:szCs w:val="17"/>
                <w:rtl/>
                <w:lang w:val="he-IL" w:bidi="he-IL"/>
              </w:rPr>
              <w:t xml:space="preserve">40 mg פעם ביום</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PAH</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נמצאה הגבלה במאגר</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Adcirca: לא מופיע במחירון</w:t>
            </w:r>
          </w:p>
          <w:p>
            <w:pPr>
              <w:bidi/>
              <w:spacing w:after="20"/>
              <w:jc w:val="right"/>
            </w:pPr>
            <w:r>
              <w:rPr>
                <w:rFonts w:ascii="Arial" w:cs="Arial" w:eastAsia="Arial" w:hAnsi="Arial"/>
                <w:sz w:val="17"/>
                <w:szCs w:val="17"/>
                <w:rtl/>
                <w:lang w:val="he-IL" w:bidi="he-IL"/>
              </w:rPr>
              <w:t xml:space="preserve">Tadalis Teva 20 mg (8): 445.81 ₪</w:t>
            </w:r>
          </w:p>
          <w:p>
            <w:pPr>
              <w:bidi/>
              <w:spacing w:after="20"/>
              <w:jc w:val="right"/>
            </w:pPr>
            <w:r>
              <w:rPr>
                <w:rFonts w:ascii="Arial" w:cs="Arial" w:eastAsia="Arial" w:hAnsi="Arial"/>
                <w:sz w:val="17"/>
                <w:szCs w:val="17"/>
                <w:rtl/>
                <w:lang w:val="he-IL" w:bidi="he-IL"/>
              </w:rPr>
              <w:t xml:space="preserve">חברה: טבע (Tadalis)</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Riociguat (Adempas 0.5–2.5 mg)</w:t>
            </w:r>
          </w:p>
          <w:p>
            <w:pPr>
              <w:bidi/>
              <w:spacing w:after="20"/>
              <w:jc w:val="right"/>
            </w:pPr>
            <w:r>
              <w:rPr>
                <w:rFonts w:ascii="Arial" w:cs="Arial" w:eastAsia="Arial" w:hAnsi="Arial"/>
                <w:sz w:val="17"/>
                <w:szCs w:val="17"/>
                <w:rtl/>
                <w:lang w:val="he-IL" w:bidi="he-IL"/>
              </w:rPr>
              <w:t xml:space="preserve">טיטרציה עד 2.5 mg שלוש פעמים ביום</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PAH; CTEPH לא נתיח או חוזר</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מומחה בקרדיולוגיה או ברפואת ריאות (כולל ילדים)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1/1.5/2 mg (42): 4,239.49 ₪</w:t>
            </w:r>
          </w:p>
          <w:p>
            <w:pPr>
              <w:bidi/>
              <w:spacing w:after="20"/>
              <w:jc w:val="right"/>
            </w:pPr>
            <w:r>
              <w:rPr>
                <w:rFonts w:ascii="Arial" w:cs="Arial" w:eastAsia="Arial" w:hAnsi="Arial"/>
                <w:sz w:val="17"/>
                <w:szCs w:val="17"/>
                <w:rtl/>
                <w:lang w:val="he-IL" w:bidi="he-IL"/>
              </w:rPr>
              <w:t xml:space="preserve">2.5 mg (84): 8,478.97 ₪</w:t>
            </w:r>
          </w:p>
          <w:p>
            <w:pPr>
              <w:bidi/>
              <w:spacing w:after="20"/>
              <w:jc w:val="right"/>
            </w:pPr>
            <w:r>
              <w:rPr>
                <w:rFonts w:ascii="Arial" w:cs="Arial" w:eastAsia="Arial" w:hAnsi="Arial"/>
                <w:sz w:val="17"/>
                <w:szCs w:val="17"/>
                <w:rtl/>
                <w:lang w:val="he-IL" w:bidi="he-IL"/>
              </w:rPr>
              <w:t xml:space="preserve">חברה: באייר</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Selexipag (Uptravi 200–1600 mcg)</w:t>
            </w:r>
          </w:p>
          <w:p>
            <w:pPr>
              <w:bidi/>
              <w:spacing w:after="20"/>
              <w:jc w:val="right"/>
            </w:pPr>
            <w:r>
              <w:rPr>
                <w:rFonts w:ascii="Arial" w:cs="Arial" w:eastAsia="Arial" w:hAnsi="Arial"/>
                <w:sz w:val="17"/>
                <w:szCs w:val="17"/>
                <w:rtl/>
                <w:lang w:val="he-IL" w:bidi="he-IL"/>
              </w:rPr>
              <w:t xml:space="preserve">טיטרציה BID</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PAH</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נמצאה הגבלה במאגר</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200 mcg (60): 11,354.82 ₪</w:t>
            </w:r>
          </w:p>
          <w:p>
            <w:pPr>
              <w:bidi/>
              <w:spacing w:after="20"/>
              <w:jc w:val="right"/>
            </w:pPr>
            <w:r>
              <w:rPr>
                <w:rFonts w:ascii="Arial" w:cs="Arial" w:eastAsia="Arial" w:hAnsi="Arial"/>
                <w:sz w:val="17"/>
                <w:szCs w:val="17"/>
                <w:rtl/>
                <w:lang w:val="he-IL" w:bidi="he-IL"/>
              </w:rPr>
              <w:t xml:space="preserve">400–1600 mcg (60): 11,589.94 ₪</w:t>
            </w:r>
          </w:p>
          <w:p>
            <w:pPr>
              <w:bidi/>
              <w:spacing w:after="20"/>
              <w:jc w:val="right"/>
            </w:pPr>
            <w:r>
              <w:rPr>
                <w:rFonts w:ascii="Arial" w:cs="Arial" w:eastAsia="Arial" w:hAnsi="Arial"/>
                <w:sz w:val="17"/>
                <w:szCs w:val="17"/>
                <w:rtl/>
                <w:lang w:val="he-IL" w:bidi="he-IL"/>
              </w:rPr>
              <w:t xml:space="preserve">חברה: יאנסן</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Iloprost לאינהלציה (Ventavis)</w:t>
            </w:r>
          </w:p>
          <w:p>
            <w:pPr>
              <w:bidi/>
              <w:spacing w:after="20"/>
              <w:jc w:val="right"/>
            </w:pPr>
            <w:r>
              <w:rPr>
                <w:rFonts w:ascii="Arial" w:cs="Arial" w:eastAsia="Arial" w:hAnsi="Arial"/>
                <w:sz w:val="17"/>
                <w:szCs w:val="17"/>
                <w:rtl/>
                <w:lang w:val="he-IL" w:bidi="he-IL"/>
              </w:rPr>
              <w:t xml:space="preserve">2.5–5 mcg 6–9 פעמים ביום</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PAH</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נמצאה הגבלה במאגר</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3,465.92 ₪ (30 אמפולות)</w:t>
            </w:r>
          </w:p>
          <w:p>
            <w:pPr>
              <w:bidi/>
              <w:spacing w:after="20"/>
              <w:jc w:val="right"/>
            </w:pPr>
            <w:r>
              <w:rPr>
                <w:rFonts w:ascii="Arial" w:cs="Arial" w:eastAsia="Arial" w:hAnsi="Arial"/>
                <w:sz w:val="17"/>
                <w:szCs w:val="17"/>
                <w:rtl/>
                <w:lang w:val="he-IL" w:bidi="he-IL"/>
              </w:rPr>
              <w:t xml:space="preserve">חברה: באייר</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Treprostinil (Remodulin) ת"ע/תוך-ורידי; Epoprostenol (Flolan/Veletri) תוך-ורידי</w:t>
            </w:r>
          </w:p>
          <w:p>
            <w:pPr>
              <w:bidi/>
              <w:spacing w:after="20"/>
              <w:jc w:val="right"/>
            </w:pPr>
            <w:r>
              <w:rPr>
                <w:rFonts w:ascii="Arial" w:cs="Arial" w:eastAsia="Arial" w:hAnsi="Arial"/>
                <w:sz w:val="17"/>
                <w:szCs w:val="17"/>
                <w:rtl/>
                <w:lang w:val="he-IL" w:bidi="he-IL"/>
              </w:rPr>
              <w:t xml:space="preserve">בעירוי רציף, מינון לפי ng/kg/min</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PAH מתקדם (FC III–IV)</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נמצאה הגבלה במאגר</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Remodulin 2.5 mg/ml: 14,272.37 ₪</w:t>
            </w:r>
          </w:p>
          <w:p>
            <w:pPr>
              <w:bidi/>
              <w:spacing w:after="20"/>
              <w:jc w:val="right"/>
            </w:pPr>
            <w:r>
              <w:rPr>
                <w:rFonts w:ascii="Arial" w:cs="Arial" w:eastAsia="Arial" w:hAnsi="Arial"/>
                <w:sz w:val="17"/>
                <w:szCs w:val="17"/>
                <w:rtl/>
                <w:lang w:val="he-IL" w:bidi="he-IL"/>
              </w:rPr>
              <w:t xml:space="preserve">5 mg/ml: 23,314.51 ₪</w:t>
            </w:r>
          </w:p>
          <w:p>
            <w:pPr>
              <w:bidi/>
              <w:spacing w:after="20"/>
              <w:jc w:val="right"/>
            </w:pPr>
            <w:r>
              <w:rPr>
                <w:rFonts w:ascii="Arial" w:cs="Arial" w:eastAsia="Arial" w:hAnsi="Arial"/>
                <w:sz w:val="17"/>
                <w:szCs w:val="17"/>
                <w:rtl/>
                <w:lang w:val="he-IL" w:bidi="he-IL"/>
              </w:rPr>
              <w:t xml:space="preserve">10 mg/ml: 43,743.39 ₪ (20 מ"ל)</w:t>
            </w:r>
          </w:p>
          <w:p>
            <w:pPr>
              <w:bidi/>
              <w:spacing w:after="20"/>
              <w:jc w:val="right"/>
            </w:pPr>
            <w:r>
              <w:rPr>
                <w:rFonts w:ascii="Arial" w:cs="Arial" w:eastAsia="Arial" w:hAnsi="Arial"/>
                <w:sz w:val="17"/>
                <w:szCs w:val="17"/>
                <w:rtl/>
                <w:lang w:val="he-IL" w:bidi="he-IL"/>
              </w:rPr>
              <w:t xml:space="preserve">Flolan 500 mcg: 176.26 ₪</w:t>
            </w:r>
          </w:p>
          <w:p>
            <w:pPr>
              <w:bidi/>
              <w:spacing w:after="20"/>
              <w:jc w:val="right"/>
            </w:pPr>
            <w:r>
              <w:rPr>
                <w:rFonts w:ascii="Arial" w:cs="Arial" w:eastAsia="Arial" w:hAnsi="Arial"/>
                <w:sz w:val="17"/>
                <w:szCs w:val="17"/>
                <w:rtl/>
                <w:lang w:val="he-IL" w:bidi="he-IL"/>
              </w:rPr>
              <w:t xml:space="preserve">Flolan 1500 mcg: 280.72 ₪</w:t>
            </w:r>
          </w:p>
          <w:p>
            <w:pPr>
              <w:bidi/>
              <w:spacing w:after="20"/>
              <w:jc w:val="right"/>
            </w:pPr>
            <w:r>
              <w:rPr>
                <w:rFonts w:ascii="Arial" w:cs="Arial" w:eastAsia="Arial" w:hAnsi="Arial"/>
                <w:sz w:val="17"/>
                <w:szCs w:val="17"/>
                <w:rtl/>
                <w:lang w:val="he-IL" w:bidi="he-IL"/>
              </w:rPr>
              <w:t xml:space="preserve">חברה: Remodulin: רפא; Flolan: ג.ס.ק</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Tyvaso (Treprostinil לאינהלציה)</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PAH (NYHA III)</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מומחה ברפואת ריאות (בסעיף הסל מוזכר גם מנהל מחלקה בבי"ח)</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אין מחיר מוגדר במחירון</w:t>
            </w:r>
          </w:p>
          <w:p>
            <w:pPr>
              <w:bidi/>
              <w:spacing w:after="20"/>
              <w:jc w:val="right"/>
            </w:pPr>
            <w:r>
              <w:rPr>
                <w:rFonts w:ascii="Arial" w:cs="Arial" w:eastAsia="Arial" w:hAnsi="Arial"/>
                <w:sz w:val="17"/>
                <w:szCs w:val="17"/>
                <w:rtl/>
                <w:lang w:val="he-IL" w:bidi="he-IL"/>
              </w:rPr>
              <w:t xml:space="preserve">חברה: Remodulin: רפא; Flolan: ג.ס.ק</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Winrevair (Sotatercept)</w:t>
            </w:r>
          </w:p>
          <w:p>
            <w:pPr>
              <w:bidi/>
              <w:spacing w:after="20"/>
              <w:jc w:val="right"/>
            </w:pPr>
            <w:r>
              <w:rPr>
                <w:rFonts w:ascii="Arial" w:cs="Arial" w:eastAsia="Arial" w:hAnsi="Arial"/>
                <w:sz w:val="17"/>
                <w:szCs w:val="17"/>
                <w:rtl/>
                <w:lang w:val="he-IL" w:bidi="he-IL"/>
              </w:rPr>
              <w:t xml:space="preserve">0.3 mg/ק"ג ואחר כך 0.7 mg/ק"ג ת"ע כל 3 שבועות</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PAH (FC II–III) כתוספת לטיפול רקע</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מומחה במחלות ריאה, קרדיולוגיה, טיפול נמרץ כללי, כירורגיית כלי דם או ראומטולוגיה</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45 mg: 31,014.05 ₪ (בקבוקון)</w:t>
            </w:r>
          </w:p>
          <w:p>
            <w:pPr>
              <w:bidi/>
              <w:spacing w:after="20"/>
              <w:jc w:val="right"/>
            </w:pPr>
            <w:r>
              <w:rPr>
                <w:rFonts w:ascii="Arial" w:cs="Arial" w:eastAsia="Arial" w:hAnsi="Arial"/>
                <w:sz w:val="17"/>
                <w:szCs w:val="17"/>
                <w:rtl/>
                <w:lang w:val="he-IL" w:bidi="he-IL"/>
              </w:rPr>
              <w:t xml:space="preserve">60 mg: 41,357.18 ₪ (בקבוקון)</w:t>
            </w:r>
          </w:p>
          <w:p>
            <w:pPr>
              <w:bidi/>
              <w:spacing w:after="20"/>
              <w:jc w:val="right"/>
            </w:pPr>
            <w:r>
              <w:rPr>
                <w:rFonts w:ascii="Arial" w:cs="Arial" w:eastAsia="Arial" w:hAnsi="Arial"/>
                <w:sz w:val="17"/>
                <w:szCs w:val="17"/>
                <w:rtl/>
                <w:lang w:val="he-IL" w:bidi="he-IL"/>
              </w:rPr>
              <w:t xml:space="preserve">אריזה כפולה: 62,028.10 / 82,714.36 ₪</w:t>
            </w:r>
          </w:p>
          <w:p>
            <w:pPr>
              <w:bidi/>
              <w:spacing w:after="20"/>
              <w:jc w:val="right"/>
            </w:pPr>
            <w:r>
              <w:rPr>
                <w:rFonts w:ascii="Arial" w:cs="Arial" w:eastAsia="Arial" w:hAnsi="Arial"/>
                <w:sz w:val="17"/>
                <w:szCs w:val="17"/>
                <w:rtl/>
                <w:lang w:val="he-IL" w:bidi="he-IL"/>
              </w:rPr>
              <w:t xml:space="preserve">חברה: מ.ס.ד. ישראל</w:t>
            </w:r>
          </w:p>
        </w:tc>
      </w:tr>
      <w:tr>
        <w:trPr>
          <w:cantSplit/>
        </w:trPr>
        <w:tc>
          <w:tcPr>
            <w:tcW w:type="dxa" w:w="15398"/>
            <w:gridSpan w:val="6"/>
            <w:tcBorders>
              <w:top w:val="single" w:color="A6A6A6" w:sz="4"/>
              <w:left w:val="single" w:color="A6A6A6" w:sz="4"/>
              <w:bottom w:val="single" w:color="A6A6A6" w:sz="4"/>
              <w:right w:val="single" w:color="A6A6A6" w:sz="4"/>
            </w:tcBorders>
            <w:shd w:fill="D9E2F3" w:color="auto" w:val="clear"/>
            <w:tcMar>
              <w:top w:type="dxa" w:w="50"/>
              <w:left w:type="dxa" w:w="80"/>
              <w:bottom w:type="dxa" w:w="50"/>
              <w:right w:type="dxa" w:w="80"/>
            </w:tcMar>
          </w:tcPr>
          <w:p>
            <w:pPr>
              <w:bidi/>
              <w:spacing w:after="20"/>
              <w:jc w:val="right"/>
            </w:pPr>
            <w:r>
              <w:rPr>
                <w:rFonts w:ascii="Arial" w:cs="Arial" w:eastAsia="Arial" w:hAnsi="Arial"/>
                <w:b/>
                <w:bCs/>
                <w:sz w:val="19"/>
                <w:szCs w:val="19"/>
                <w:rtl/>
                <w:lang w:val="he-IL" w:bidi="he-IL"/>
              </w:rPr>
              <w:t xml:space="preserve">ט. ברונכיאקטזיס (non-CF)</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Brensocatib (Brinsupri)</w:t>
            </w:r>
          </w:p>
          <w:p>
            <w:pPr>
              <w:bidi/>
              <w:spacing w:after="20"/>
              <w:jc w:val="right"/>
            </w:pPr>
            <w:r>
              <w:rPr>
                <w:rFonts w:ascii="Arial" w:cs="Arial" w:eastAsia="Arial" w:hAnsi="Arial"/>
                <w:sz w:val="17"/>
                <w:szCs w:val="17"/>
                <w:rtl/>
                <w:lang w:val="he-IL" w:bidi="he-IL"/>
              </w:rPr>
              <w:t xml:space="preserve">טבליה פעם ביום (10 או 25 mg)</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מעכב פומי של DPP-1 (דיפפטידיל פפטידאז 1), המפחית הפעלה של פרוטאזות נויטרופיליות. אושר ב-FDA (2025) למניעת החמרות בברונכיאקטזיס שאינה על רקע CF. אינו רשום בישראל</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רלוונטי – אינו רשום</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רלוונטי</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רלוונטי</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רלוונטי</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Hypertonic saline (סליין היפרטוני 3%–7%) לאינהלציה</w:t>
            </w:r>
          </w:p>
          <w:p>
            <w:pPr>
              <w:bidi/>
              <w:spacing w:after="20"/>
              <w:jc w:val="right"/>
            </w:pPr>
            <w:r>
              <w:rPr>
                <w:rFonts w:ascii="Arial" w:cs="Arial" w:eastAsia="Arial" w:hAnsi="Arial"/>
                <w:sz w:val="17"/>
                <w:szCs w:val="17"/>
                <w:rtl/>
                <w:lang w:val="he-IL" w:bidi="he-IL"/>
              </w:rPr>
              <w:t xml:space="preserve">4–5 מ"ל פעם–פעמיים ביום בנבולייזר</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ברונכיאקטזיס: סילוק ליחה. מומלץ לשלב עם Atrovent (או מרחיב סימפונות אחר) לפני האינהלציה, לפי פרקטיקה מקובלת, ויש להיזהר בחולים עם הפרעה חסימתית (סיכון לברונכוספזם).</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מכשור רפואי רשום: תמיסת מי מלח בריכוז היפרטוני 3% ו-7% לאינהלציה (מס' רישום 6260425, נאבה פארמה, יצרן Unolab ספרד, תוקף עד 31.12.2028); לא 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כל רופא (מרשם)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3%: 45.90 ₪ (24 מנות של 5 מ"ל; אתר בית מרקחת); 7%: מחיר לא נמצא</w:t>
            </w:r>
          </w:p>
        </w:tc>
      </w:tr>
      <w:tr>
        <w:trPr>
          <w:cantSplit/>
        </w:trPr>
        <w:tc>
          <w:tcPr>
            <w:tcW w:type="dxa" w:w="27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Colistimethate sodium (Coliracin) לאינהלציה</w:t>
            </w:r>
          </w:p>
          <w:p>
            <w:pPr>
              <w:bidi/>
              <w:spacing w:after="20"/>
              <w:jc w:val="right"/>
            </w:pPr>
            <w:r>
              <w:rPr>
                <w:rFonts w:ascii="Arial" w:cs="Arial" w:eastAsia="Arial" w:hAnsi="Arial"/>
                <w:sz w:val="17"/>
                <w:szCs w:val="17"/>
                <w:rtl/>
                <w:lang w:val="he-IL" w:bidi="he-IL"/>
              </w:rPr>
              <w:t xml:space="preserve">1–2 מיליון יח"י פעמיים ביום</w:t>
            </w:r>
          </w:p>
        </w:tc>
        <w:tc>
          <w:tcPr>
            <w:tcW w:type="dxa" w:w="3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טיפול מניעתי באינהלציה בברונכיאקטזיס non-CF ובחולי PCD עם קולוניזציה של Pseudomonas.</w:t>
            </w:r>
          </w:p>
          <w:p>
            <w:pPr>
              <w:bidi/>
              <w:spacing w:after="20"/>
              <w:jc w:val="right"/>
            </w:pPr>
            <w:r>
              <w:rPr>
                <w:rFonts w:ascii="Arial" w:cs="Arial" w:eastAsia="Arial" w:hAnsi="Arial"/>
                <w:sz w:val="17"/>
                <w:szCs w:val="17"/>
                <w:rtl/>
                <w:lang w:val="he-IL" w:bidi="he-IL"/>
              </w:rPr>
              <w:t xml:space="preserve">הכנה: להמיס בוויאל 1 מיליון יח"י ב-2 מ"ל (2 מיליון ב-4 מ"ל) NaCl 0.9%; לגלגל בעדינות בין הידיים ולא לנער, כדי שלא ייווצר קצף; לא לערבב עם תרופות אחרות באותו נבולייזר. מומלץ מרחיב סימפונות לפני ההנשמה (סיכון לברונכוספזם). להשליך שאריות לאחר כל טיפול.</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 (הכללה 21.01.2016) – ראו נוסח הסל המדויק</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כל רופא (מרשם)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נדרש (בסל)</w:t>
            </w:r>
          </w:p>
        </w:tc>
        <w:tc>
          <w:tcPr>
            <w:tcW w:type="dxa" w:w="25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48.03 ₪ לוויאל 1 מיליון יח"י (בית מרקחת, לא מחירון משרד הבריאות); כ-2,900 ₪ לחודש ב-1 מיליון ×2 ליום</w:t>
            </w:r>
          </w:p>
        </w:tc>
      </w:tr>
    </w:tbl>
    <w:p>
      <w:pPr>
        <w:bidi/>
        <w:spacing w:after="40" w:before="160"/>
        <w:jc w:val="right"/>
      </w:pPr>
      <w:r>
        <w:rPr>
          <w:rFonts w:ascii="Arial" w:cs="Arial" w:eastAsia="Arial" w:hAnsi="Arial"/>
          <w:b/>
          <w:bCs/>
          <w:sz w:val="20"/>
          <w:szCs w:val="20"/>
          <w:rtl/>
          <w:lang w:val="he-IL" w:bidi="he-IL"/>
        </w:rPr>
        <w:t xml:space="preserve">הערות</w:t>
      </w:r>
    </w:p>
    <w:p>
      <w:pPr>
        <w:bidi/>
        <w:spacing w:after="20"/>
        <w:jc w:val="right"/>
      </w:pPr>
      <w:r>
        <w:rPr>
          <w:rFonts w:ascii="Arial" w:cs="Arial" w:eastAsia="Arial" w:hAnsi="Arial"/>
          <w:sz w:val="16"/>
          <w:szCs w:val="16"/>
          <w:rtl/>
          <w:lang w:val="he-IL" w:bidi="he-IL"/>
        </w:rPr>
        <w:t xml:space="preserve">• תכשירים שאינם רשומים בישראל (Opsynvi, Brinsupri, Exdensur, Ohtuvayre, Enerzair) פוזרו בסעיפים הרלוונטיים, ומסומנים. אישורים בעולם לפי מקורות פומביים; יש לוודא מול בעל הרישום.</w:t>
      </w:r>
    </w:p>
    <w:p>
      <w:pPr>
        <w:bidi/>
        <w:spacing w:after="20"/>
        <w:jc w:val="right"/>
      </w:pPr>
      <w:r>
        <w:rPr>
          <w:rFonts w:ascii="Arial" w:cs="Arial" w:eastAsia="Arial" w:hAnsi="Arial"/>
          <w:sz w:val="16"/>
          <w:szCs w:val="16"/>
          <w:rtl/>
          <w:lang w:val="he-IL" w:bidi="he-IL"/>
        </w:rPr>
        <w:t xml:space="preserve">• Nerandomilast רשום בישראל מ-18.10.2026 כ-Jascayd (בורינגר אינגלהיים ישראל), IPF ו-PPF, טרם בסל. הוא מופיע בסעיף ז.</w:t>
      </w:r>
    </w:p>
    <w:p>
      <w:pPr>
        <w:bidi/>
        <w:spacing w:after="20"/>
        <w:jc w:val="right"/>
      </w:pPr>
      <w:r>
        <w:rPr>
          <w:rFonts w:ascii="Arial" w:cs="Arial" w:eastAsia="Arial" w:hAnsi="Arial"/>
          <w:sz w:val="16"/>
          <w:szCs w:val="16"/>
          <w:rtl/>
          <w:lang w:val="he-IL" w:bidi="he-IL"/>
        </w:rPr>
        <w:t xml:space="preserve">• Reslizumab (Cinqair) ו-Treprostinil לאינהלציה (Tyvaso) רשומים ובסל, ונוספו לטבלה.</w:t>
      </w:r>
    </w:p>
    <w:p>
      <w:pPr>
        <w:bidi/>
        <w:spacing w:after="20"/>
        <w:jc w:val="right"/>
      </w:pPr>
      <w:r>
        <w:rPr>
          <w:rFonts w:ascii="Arial" w:cs="Arial" w:eastAsia="Arial" w:hAnsi="Arial"/>
          <w:sz w:val="16"/>
          <w:szCs w:val="16"/>
          <w:rtl/>
          <w:lang w:val="he-IL" w:bidi="he-IL"/>
        </w:rPr>
        <w:t xml:space="preserve">• עמודת "מי רשאי לרשום": נלקחה מסעיפי הסל במאגר. "לא נמצאה הגבלה" פירושו שלא הופיע סעיף כזה, לא שאין הגבלה.</w:t>
      </w:r>
    </w:p>
    <w:p>
      <w:pPr>
        <w:pStyle w:val="Heading2"/>
        <w:pageBreakBefore/>
        <w:bidi/>
        <w:spacing w:after="60"/>
        <w:jc w:val="right"/>
      </w:pPr>
      <w:r>
        <w:rPr>
          <w:rFonts w:ascii="Arial" w:cs="Arial" w:eastAsia="Arial" w:hAnsi="Arial"/>
          <w:b/>
          <w:bCs/>
          <w:sz w:val="26"/>
          <w:szCs w:val="26"/>
          <w:rtl/>
          <w:lang w:val="he-IL" w:bidi="he-IL"/>
        </w:rPr>
        <w:t xml:space="preserve">נספח א: אלרגיה ותרסיסי אף</w:t>
      </w:r>
    </w:p>
    <w:p>
      <w:pPr>
        <w:bidi/>
        <w:spacing w:after="20"/>
        <w:jc w:val="right"/>
      </w:pPr>
      <w:r>
        <w:rPr>
          <w:rFonts w:ascii="Arial" w:cs="Arial" w:eastAsia="Arial" w:hAnsi="Arial"/>
          <w:sz w:val="16"/>
          <w:szCs w:val="16"/>
          <w:rtl/>
          <w:lang w:val="he-IL" w:bidi="he-IL"/>
        </w:rPr>
        <w:t xml:space="preserve">נתוני רישום וסל ממאגר התרופות (21.10.2026); מחירים ממחירון המרשם (30.06.26) וממחירון התרופות ללא מרשם (שנת 2025). מינונים: מבוגרים, מידע כללי. אין תכשירי אלרגיה אלה בסל לפי המאגר, אלא אם צוין אחרת.</w:t>
      </w:r>
    </w:p>
    <w:tbl>
      <w:tblPr>
        <w:bidiVisual/>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3400"/>
        <w:gridCol w:w="4000"/>
        <w:gridCol w:w="2800"/>
        <w:gridCol w:w="2200"/>
        <w:gridCol w:w="2998"/>
      </w:tblGrid>
      <w:tr>
        <w:trPr>
          <w:cantSplit/>
          <w:tblHeader/>
        </w:trPr>
        <w:tc>
          <w:tcPr>
            <w:tcW w:type="dxa" w:w="3400"/>
            <w:tcBorders>
              <w:top w:val="single" w:color="A6A6A6" w:sz="4"/>
              <w:left w:val="single" w:color="A6A6A6" w:sz="4"/>
              <w:bottom w:val="single" w:color="A6A6A6" w:sz="4"/>
              <w:right w:val="single" w:color="A6A6A6" w:sz="4"/>
            </w:tcBorders>
            <w:shd w:fill="1F3864" w:color="auto" w:val="clear"/>
            <w:tcMar>
              <w:top w:type="dxa" w:w="50"/>
              <w:left w:type="dxa" w:w="80"/>
              <w:bottom w:type="dxa" w:w="50"/>
              <w:right w:type="dxa" w:w="80"/>
            </w:tcMar>
          </w:tcPr>
          <w:p>
            <w:pPr>
              <w:bidi/>
              <w:spacing w:after="20"/>
              <w:jc w:val="center"/>
            </w:pPr>
            <w:r>
              <w:rPr>
                <w:rFonts w:ascii="Arial" w:cs="Arial" w:eastAsia="Arial" w:hAnsi="Arial"/>
                <w:b/>
                <w:bCs/>
                <w:color w:val="FFFFFF"/>
                <w:sz w:val="17"/>
                <w:szCs w:val="17"/>
                <w:rtl/>
                <w:lang w:val="he-IL" w:bidi="he-IL"/>
              </w:rPr>
              <w:t xml:space="preserve">תכשיר ומינון מקובל</w:t>
            </w:r>
          </w:p>
        </w:tc>
        <w:tc>
          <w:tcPr>
            <w:tcW w:type="dxa" w:w="4000"/>
            <w:tcBorders>
              <w:top w:val="single" w:color="A6A6A6" w:sz="4"/>
              <w:left w:val="single" w:color="A6A6A6" w:sz="4"/>
              <w:bottom w:val="single" w:color="A6A6A6" w:sz="4"/>
              <w:right w:val="single" w:color="A6A6A6" w:sz="4"/>
            </w:tcBorders>
            <w:shd w:fill="1F3864" w:color="auto" w:val="clear"/>
            <w:tcMar>
              <w:top w:type="dxa" w:w="50"/>
              <w:left w:type="dxa" w:w="80"/>
              <w:bottom w:type="dxa" w:w="50"/>
              <w:right w:type="dxa" w:w="80"/>
            </w:tcMar>
          </w:tcPr>
          <w:p>
            <w:pPr>
              <w:bidi/>
              <w:spacing w:after="20"/>
              <w:jc w:val="center"/>
            </w:pPr>
            <w:r>
              <w:rPr>
                <w:rFonts w:ascii="Arial" w:cs="Arial" w:eastAsia="Arial" w:hAnsi="Arial"/>
                <w:b/>
                <w:bCs/>
                <w:color w:val="FFFFFF"/>
                <w:sz w:val="17"/>
                <w:szCs w:val="17"/>
                <w:rtl/>
                <w:lang w:val="he-IL" w:bidi="he-IL"/>
              </w:rPr>
              <w:t xml:space="preserve">שימוש והערות</w:t>
            </w:r>
          </w:p>
        </w:tc>
        <w:tc>
          <w:tcPr>
            <w:tcW w:type="dxa" w:w="2800"/>
            <w:tcBorders>
              <w:top w:val="single" w:color="A6A6A6" w:sz="4"/>
              <w:left w:val="single" w:color="A6A6A6" w:sz="4"/>
              <w:bottom w:val="single" w:color="A6A6A6" w:sz="4"/>
              <w:right w:val="single" w:color="A6A6A6" w:sz="4"/>
            </w:tcBorders>
            <w:shd w:fill="1F3864" w:color="auto" w:val="clear"/>
            <w:tcMar>
              <w:top w:type="dxa" w:w="50"/>
              <w:left w:type="dxa" w:w="80"/>
              <w:bottom w:type="dxa" w:w="50"/>
              <w:right w:type="dxa" w:w="80"/>
            </w:tcMar>
          </w:tcPr>
          <w:p>
            <w:pPr>
              <w:bidi/>
              <w:spacing w:after="20"/>
              <w:jc w:val="center"/>
            </w:pPr>
            <w:r>
              <w:rPr>
                <w:rFonts w:ascii="Arial" w:cs="Arial" w:eastAsia="Arial" w:hAnsi="Arial"/>
                <w:b/>
                <w:bCs/>
                <w:color w:val="FFFFFF"/>
                <w:sz w:val="17"/>
                <w:szCs w:val="17"/>
                <w:rtl/>
                <w:lang w:val="he-IL" w:bidi="he-IL"/>
              </w:rPr>
              <w:t xml:space="preserve">סטטוס בישראל</w:t>
            </w:r>
          </w:p>
        </w:tc>
        <w:tc>
          <w:tcPr>
            <w:tcW w:type="dxa" w:w="2200"/>
            <w:tcBorders>
              <w:top w:val="single" w:color="A6A6A6" w:sz="4"/>
              <w:left w:val="single" w:color="A6A6A6" w:sz="4"/>
              <w:bottom w:val="single" w:color="A6A6A6" w:sz="4"/>
              <w:right w:val="single" w:color="A6A6A6" w:sz="4"/>
            </w:tcBorders>
            <w:shd w:fill="1F3864" w:color="auto" w:val="clear"/>
            <w:tcMar>
              <w:top w:type="dxa" w:w="50"/>
              <w:left w:type="dxa" w:w="80"/>
              <w:bottom w:type="dxa" w:w="50"/>
              <w:right w:type="dxa" w:w="80"/>
            </w:tcMar>
          </w:tcPr>
          <w:p>
            <w:pPr>
              <w:bidi/>
              <w:spacing w:after="20"/>
              <w:jc w:val="center"/>
            </w:pPr>
            <w:r>
              <w:rPr>
                <w:rFonts w:ascii="Arial" w:cs="Arial" w:eastAsia="Arial" w:hAnsi="Arial"/>
                <w:b/>
                <w:bCs/>
                <w:color w:val="FFFFFF"/>
                <w:sz w:val="17"/>
                <w:szCs w:val="17"/>
                <w:rtl/>
                <w:lang w:val="he-IL" w:bidi="he-IL"/>
              </w:rPr>
              <w:t xml:space="preserve">חברה</w:t>
            </w:r>
          </w:p>
        </w:tc>
        <w:tc>
          <w:tcPr>
            <w:tcW w:type="dxa" w:w="2998"/>
            <w:tcBorders>
              <w:top w:val="single" w:color="A6A6A6" w:sz="4"/>
              <w:left w:val="single" w:color="A6A6A6" w:sz="4"/>
              <w:bottom w:val="single" w:color="A6A6A6" w:sz="4"/>
              <w:right w:val="single" w:color="A6A6A6" w:sz="4"/>
            </w:tcBorders>
            <w:shd w:fill="1F3864" w:color="auto" w:val="clear"/>
            <w:tcMar>
              <w:top w:type="dxa" w:w="50"/>
              <w:left w:type="dxa" w:w="80"/>
              <w:bottom w:type="dxa" w:w="50"/>
              <w:right w:type="dxa" w:w="80"/>
            </w:tcMar>
          </w:tcPr>
          <w:p>
            <w:pPr>
              <w:bidi/>
              <w:spacing w:after="20"/>
              <w:jc w:val="center"/>
            </w:pPr>
            <w:r>
              <w:rPr>
                <w:rFonts w:ascii="Arial" w:cs="Arial" w:eastAsia="Arial" w:hAnsi="Arial"/>
                <w:b/>
                <w:bCs/>
                <w:color w:val="FFFFFF"/>
                <w:sz w:val="17"/>
                <w:szCs w:val="17"/>
                <w:rtl/>
                <w:lang w:val="he-IL" w:bidi="he-IL"/>
              </w:rPr>
              <w:t xml:space="preserve">מחיר מרבי לצרכן כולל מע"מ</w:t>
            </w:r>
          </w:p>
        </w:tc>
      </w:tr>
      <w:tr>
        <w:trPr>
          <w:cantSplit/>
        </w:trPr>
        <w:tc>
          <w:tcPr>
            <w:tcW w:type="dxa" w:w="15398"/>
            <w:gridSpan w:val="5"/>
            <w:tcBorders>
              <w:top w:val="single" w:color="A6A6A6" w:sz="4"/>
              <w:left w:val="single" w:color="A6A6A6" w:sz="4"/>
              <w:bottom w:val="single" w:color="A6A6A6" w:sz="4"/>
              <w:right w:val="single" w:color="A6A6A6" w:sz="4"/>
            </w:tcBorders>
            <w:shd w:fill="D9E2F3" w:color="auto" w:val="clear"/>
            <w:tcMar>
              <w:top w:type="dxa" w:w="50"/>
              <w:left w:type="dxa" w:w="80"/>
              <w:bottom w:type="dxa" w:w="50"/>
              <w:right w:type="dxa" w:w="80"/>
            </w:tcMar>
          </w:tcPr>
          <w:p>
            <w:pPr>
              <w:bidi/>
              <w:spacing w:after="20"/>
              <w:jc w:val="right"/>
            </w:pPr>
            <w:r>
              <w:rPr>
                <w:rFonts w:ascii="Arial" w:cs="Arial" w:eastAsia="Arial" w:hAnsi="Arial"/>
                <w:b/>
                <w:bCs/>
                <w:sz w:val="19"/>
                <w:szCs w:val="19"/>
                <w:rtl/>
                <w:lang w:val="he-IL" w:bidi="he-IL"/>
              </w:rPr>
              <w:t xml:space="preserve">תרסיסי אף – סטרואידים וצירופים</w:t>
            </w:r>
          </w:p>
        </w:tc>
      </w:tr>
      <w:tr>
        <w:trPr>
          <w:cantSplit/>
        </w:trPr>
        <w:tc>
          <w:tcPr>
            <w:tcW w:type="dxa" w:w="3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Flixonase Aqueous (Fluticasone propionate 50 mcg/נשיפה)</w:t>
            </w:r>
          </w:p>
          <w:p>
            <w:pPr>
              <w:bidi/>
              <w:spacing w:after="20"/>
              <w:jc w:val="right"/>
            </w:pPr>
            <w:r>
              <w:rPr>
                <w:rFonts w:ascii="Arial" w:cs="Arial" w:eastAsia="Arial" w:hAnsi="Arial"/>
                <w:sz w:val="17"/>
                <w:szCs w:val="17"/>
                <w:rtl/>
                <w:lang w:val="he-IL" w:bidi="he-IL"/>
              </w:rPr>
              <w:t xml:space="preserve">2 נשיפות בכל נחיר פעם ביום</w:t>
            </w:r>
          </w:p>
        </w:tc>
        <w:tc>
          <w:tcPr>
            <w:tcW w:type="dxa" w:w="4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נזלת אלרגית. תכשירים דומים ללא מרשם: Flixergy, Allegro (תרימה)</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ללא מרשם</w:t>
            </w:r>
          </w:p>
        </w:tc>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ג.ס.ק</w:t>
            </w:r>
          </w:p>
        </w:tc>
        <w:tc>
          <w:tcPr>
            <w:tcW w:type="dxa" w:w="2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47.40 ₪ (120 נשיפות)</w:t>
            </w:r>
          </w:p>
          <w:p>
            <w:pPr>
              <w:bidi/>
              <w:spacing w:after="20"/>
              <w:jc w:val="right"/>
            </w:pPr>
            <w:r>
              <w:rPr>
                <w:rFonts w:ascii="Arial" w:cs="Arial" w:eastAsia="Arial" w:hAnsi="Arial"/>
                <w:sz w:val="17"/>
                <w:szCs w:val="17"/>
                <w:rtl/>
                <w:lang w:val="he-IL" w:bidi="he-IL"/>
              </w:rPr>
              <w:t xml:space="preserve">Flixergy: 28.14 ₪</w:t>
            </w:r>
          </w:p>
          <w:p>
            <w:pPr>
              <w:bidi/>
              <w:spacing w:after="20"/>
              <w:jc w:val="right"/>
            </w:pPr>
            <w:r>
              <w:rPr>
                <w:rFonts w:ascii="Arial" w:cs="Arial" w:eastAsia="Arial" w:hAnsi="Arial"/>
                <w:sz w:val="17"/>
                <w:szCs w:val="17"/>
                <w:rtl/>
                <w:lang w:val="he-IL" w:bidi="he-IL"/>
              </w:rPr>
              <w:t xml:space="preserve">Allegro: 47.40 ₪</w:t>
            </w:r>
          </w:p>
        </w:tc>
      </w:tr>
      <w:tr>
        <w:trPr>
          <w:cantSplit/>
        </w:trPr>
        <w:tc>
          <w:tcPr>
            <w:tcW w:type="dxa" w:w="3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Avamys (Fluticasone furoate 27.5 mcg/נשיפה)</w:t>
            </w:r>
          </w:p>
          <w:p>
            <w:pPr>
              <w:bidi/>
              <w:spacing w:after="20"/>
              <w:jc w:val="right"/>
            </w:pPr>
            <w:r>
              <w:rPr>
                <w:rFonts w:ascii="Arial" w:cs="Arial" w:eastAsia="Arial" w:hAnsi="Arial"/>
                <w:sz w:val="17"/>
                <w:szCs w:val="17"/>
                <w:rtl/>
                <w:lang w:val="he-IL" w:bidi="he-IL"/>
              </w:rPr>
              <w:t xml:space="preserve">2 נשיפות בכל נחיר פעם ביום</w:t>
            </w:r>
          </w:p>
        </w:tc>
        <w:tc>
          <w:tcPr>
            <w:tcW w:type="dxa" w:w="4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נזלת אלרגית</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מרשם</w:t>
            </w:r>
          </w:p>
        </w:tc>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ג.ס.ק</w:t>
            </w:r>
          </w:p>
        </w:tc>
        <w:tc>
          <w:tcPr>
            <w:tcW w:type="dxa" w:w="2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29.24 ₪ (120 נשיפות)</w:t>
            </w:r>
          </w:p>
        </w:tc>
      </w:tr>
      <w:tr>
        <w:trPr>
          <w:cantSplit/>
        </w:trPr>
        <w:tc>
          <w:tcPr>
            <w:tcW w:type="dxa" w:w="3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Nasonex (Mometasone 50 mcg/נשיפה)</w:t>
            </w:r>
          </w:p>
          <w:p>
            <w:pPr>
              <w:bidi/>
              <w:spacing w:after="20"/>
              <w:jc w:val="right"/>
            </w:pPr>
            <w:r>
              <w:rPr>
                <w:rFonts w:ascii="Arial" w:cs="Arial" w:eastAsia="Arial" w:hAnsi="Arial"/>
                <w:sz w:val="17"/>
                <w:szCs w:val="17"/>
                <w:rtl/>
                <w:lang w:val="he-IL" w:bidi="he-IL"/>
              </w:rPr>
              <w:t xml:space="preserve">2 נשיפות בכל נחיר פעם ביום</w:t>
            </w:r>
          </w:p>
        </w:tc>
        <w:tc>
          <w:tcPr>
            <w:tcW w:type="dxa" w:w="4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נזלת אלרגית, פוליפים באף</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רשום; לא נמצא במחירון</w:t>
            </w:r>
          </w:p>
        </w:tc>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MSD ישראל</w:t>
            </w:r>
          </w:p>
        </w:tc>
        <w:tc>
          <w:tcPr>
            <w:tcW w:type="dxa" w:w="2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נמצא במחירון</w:t>
            </w:r>
          </w:p>
        </w:tc>
      </w:tr>
      <w:tr>
        <w:trPr>
          <w:cantSplit/>
        </w:trPr>
        <w:tc>
          <w:tcPr>
            <w:tcW w:type="dxa" w:w="3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Ryaltris (Olopatadine/Mometasone 665/25 mcg)</w:t>
            </w:r>
          </w:p>
          <w:p>
            <w:pPr>
              <w:bidi/>
              <w:spacing w:after="20"/>
              <w:jc w:val="right"/>
            </w:pPr>
            <w:r>
              <w:rPr>
                <w:rFonts w:ascii="Arial" w:cs="Arial" w:eastAsia="Arial" w:hAnsi="Arial"/>
                <w:sz w:val="17"/>
                <w:szCs w:val="17"/>
                <w:rtl/>
                <w:lang w:val="he-IL" w:bidi="he-IL"/>
              </w:rPr>
              <w:t xml:space="preserve">2 נשיפות בכל נחיר פעמיים ביום (מגיל 12)</w:t>
            </w:r>
          </w:p>
        </w:tc>
        <w:tc>
          <w:tcPr>
            <w:tcW w:type="dxa" w:w="4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נזלת אלרגית עונתית; אנטיהיסטמין + סטרואיד בתרסיס אחד</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מרשם</w:t>
            </w:r>
          </w:p>
        </w:tc>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K.S. Kim (SK Pharma)</w:t>
            </w:r>
          </w:p>
        </w:tc>
        <w:tc>
          <w:tcPr>
            <w:tcW w:type="dxa" w:w="2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67.84 ₪ (240 נשיפות)</w:t>
            </w:r>
          </w:p>
        </w:tc>
      </w:tr>
      <w:tr>
        <w:trPr>
          <w:cantSplit/>
        </w:trPr>
        <w:tc>
          <w:tcPr>
            <w:tcW w:type="dxa" w:w="15398"/>
            <w:gridSpan w:val="5"/>
            <w:tcBorders>
              <w:top w:val="single" w:color="A6A6A6" w:sz="4"/>
              <w:left w:val="single" w:color="A6A6A6" w:sz="4"/>
              <w:bottom w:val="single" w:color="A6A6A6" w:sz="4"/>
              <w:right w:val="single" w:color="A6A6A6" w:sz="4"/>
            </w:tcBorders>
            <w:shd w:fill="D9E2F3" w:color="auto" w:val="clear"/>
            <w:tcMar>
              <w:top w:type="dxa" w:w="50"/>
              <w:left w:type="dxa" w:w="80"/>
              <w:bottom w:type="dxa" w:w="50"/>
              <w:right w:type="dxa" w:w="80"/>
            </w:tcMar>
          </w:tcPr>
          <w:p>
            <w:pPr>
              <w:bidi/>
              <w:spacing w:after="20"/>
              <w:jc w:val="right"/>
            </w:pPr>
            <w:r>
              <w:rPr>
                <w:rFonts w:ascii="Arial" w:cs="Arial" w:eastAsia="Arial" w:hAnsi="Arial"/>
                <w:b/>
                <w:bCs/>
                <w:sz w:val="19"/>
                <w:szCs w:val="19"/>
                <w:rtl/>
                <w:lang w:val="he-IL" w:bidi="he-IL"/>
              </w:rPr>
              <w:t xml:space="preserve">תרסיסי אף – אנטיהיסטמינים וייצוב תאי פיטום</w:t>
            </w:r>
          </w:p>
        </w:tc>
      </w:tr>
      <w:tr>
        <w:trPr>
          <w:cantSplit/>
        </w:trPr>
        <w:tc>
          <w:tcPr>
            <w:tcW w:type="dxa" w:w="3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Azelastine nasal spray (Azelastin-POS; Azel-Avenir)</w:t>
            </w:r>
          </w:p>
        </w:tc>
        <w:tc>
          <w:tcPr>
            <w:tcW w:type="dxa" w:w="4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אנטיהיסטמין מקומי לאף</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רשום; לא נמצא במחירון</w:t>
            </w:r>
          </w:p>
        </w:tc>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קיוומא; ביואבניר</w:t>
            </w:r>
          </w:p>
        </w:tc>
        <w:tc>
          <w:tcPr>
            <w:tcW w:type="dxa" w:w="2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נמצא במחירון</w:t>
            </w:r>
          </w:p>
        </w:tc>
      </w:tr>
      <w:tr>
        <w:trPr>
          <w:cantSplit/>
        </w:trPr>
        <w:tc>
          <w:tcPr>
            <w:tcW w:type="dxa" w:w="3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Cromo-Comod nasal spray (Cromoglicate)</w:t>
            </w:r>
          </w:p>
        </w:tc>
        <w:tc>
          <w:tcPr>
            <w:tcW w:type="dxa" w:w="4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מניעת נזלת אלרגית; השפעה איטית</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ללא מרשם</w:t>
            </w:r>
          </w:p>
        </w:tc>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קיוומא</w:t>
            </w:r>
          </w:p>
        </w:tc>
        <w:tc>
          <w:tcPr>
            <w:tcW w:type="dxa" w:w="2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48.72 ₪ (15 מ"ל)</w:t>
            </w:r>
          </w:p>
        </w:tc>
      </w:tr>
      <w:tr>
        <w:trPr>
          <w:cantSplit/>
        </w:trPr>
        <w:tc>
          <w:tcPr>
            <w:tcW w:type="dxa" w:w="15398"/>
            <w:gridSpan w:val="5"/>
            <w:tcBorders>
              <w:top w:val="single" w:color="A6A6A6" w:sz="4"/>
              <w:left w:val="single" w:color="A6A6A6" w:sz="4"/>
              <w:bottom w:val="single" w:color="A6A6A6" w:sz="4"/>
              <w:right w:val="single" w:color="A6A6A6" w:sz="4"/>
            </w:tcBorders>
            <w:shd w:fill="D9E2F3" w:color="auto" w:val="clear"/>
            <w:tcMar>
              <w:top w:type="dxa" w:w="50"/>
              <w:left w:type="dxa" w:w="80"/>
              <w:bottom w:type="dxa" w:w="50"/>
              <w:right w:type="dxa" w:w="80"/>
            </w:tcMar>
          </w:tcPr>
          <w:p>
            <w:pPr>
              <w:bidi/>
              <w:spacing w:after="20"/>
              <w:jc w:val="right"/>
            </w:pPr>
            <w:r>
              <w:rPr>
                <w:rFonts w:ascii="Arial" w:cs="Arial" w:eastAsia="Arial" w:hAnsi="Arial"/>
                <w:b/>
                <w:bCs/>
                <w:sz w:val="19"/>
                <w:szCs w:val="19"/>
                <w:rtl/>
                <w:lang w:val="he-IL" w:bidi="he-IL"/>
              </w:rPr>
              <w:t xml:space="preserve">תרסיסי אף – מכווצי כלי דם</w:t>
            </w:r>
          </w:p>
        </w:tc>
      </w:tr>
      <w:tr>
        <w:trPr>
          <w:cantSplit/>
        </w:trPr>
        <w:tc>
          <w:tcPr>
            <w:tcW w:type="dxa" w:w="3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Otrivin (Xylometazoline 0.05%/0.1%)</w:t>
            </w:r>
          </w:p>
        </w:tc>
        <w:tc>
          <w:tcPr>
            <w:tcW w:type="dxa" w:w="4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הקלה קצרה בגודש. לא יותר מ-5–7 ימים בערך, בגלל סיכון לנזלת תרופתית (rhinitis medicamentosa)</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ללא מרשם</w:t>
            </w:r>
          </w:p>
        </w:tc>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ג.ס.ק (Haleon)</w:t>
            </w:r>
          </w:p>
        </w:tc>
        <w:tc>
          <w:tcPr>
            <w:tcW w:type="dxa" w:w="2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19.85–40.58 ₪ לפי צורה</w:t>
            </w:r>
          </w:p>
        </w:tc>
      </w:tr>
      <w:tr>
        <w:trPr>
          <w:cantSplit/>
        </w:trPr>
        <w:tc>
          <w:tcPr>
            <w:tcW w:type="dxa" w:w="15398"/>
            <w:gridSpan w:val="5"/>
            <w:tcBorders>
              <w:top w:val="single" w:color="A6A6A6" w:sz="4"/>
              <w:left w:val="single" w:color="A6A6A6" w:sz="4"/>
              <w:bottom w:val="single" w:color="A6A6A6" w:sz="4"/>
              <w:right w:val="single" w:color="A6A6A6" w:sz="4"/>
            </w:tcBorders>
            <w:shd w:fill="D9E2F3" w:color="auto" w:val="clear"/>
            <w:tcMar>
              <w:top w:type="dxa" w:w="50"/>
              <w:left w:type="dxa" w:w="80"/>
              <w:bottom w:type="dxa" w:w="50"/>
              <w:right w:type="dxa" w:w="80"/>
            </w:tcMar>
          </w:tcPr>
          <w:p>
            <w:pPr>
              <w:bidi/>
              <w:spacing w:after="20"/>
              <w:jc w:val="right"/>
            </w:pPr>
            <w:r>
              <w:rPr>
                <w:rFonts w:ascii="Arial" w:cs="Arial" w:eastAsia="Arial" w:hAnsi="Arial"/>
                <w:b/>
                <w:bCs/>
                <w:sz w:val="19"/>
                <w:szCs w:val="19"/>
                <w:rtl/>
                <w:lang w:val="he-IL" w:bidi="he-IL"/>
              </w:rPr>
              <w:t xml:space="preserve">אנטיהיסטמינים פומיים</w:t>
            </w:r>
          </w:p>
        </w:tc>
      </w:tr>
      <w:tr>
        <w:trPr>
          <w:cantSplit/>
        </w:trPr>
        <w:tc>
          <w:tcPr>
            <w:tcW w:type="dxa" w:w="3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Cetirizine 10 mg פעם ביום (Histazine, N-Alergya, Zyllergy, Allergy-Care)</w:t>
            </w:r>
          </w:p>
        </w:tc>
        <w:tc>
          <w:tcPr>
            <w:tcW w:type="dxa" w:w="4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דור שני; עלול לגרום לנמנום</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ללא מרשם</w:t>
            </w:r>
          </w:p>
        </w:tc>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תרימה; דקסל פארמה; מכבי קאר</w:t>
            </w:r>
          </w:p>
        </w:tc>
        <w:tc>
          <w:tcPr>
            <w:tcW w:type="dxa" w:w="2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22.15 ₪ (10 טבליות) עד 44.30 ₪ (20)</w:t>
            </w:r>
          </w:p>
        </w:tc>
      </w:tr>
      <w:tr>
        <w:trPr>
          <w:cantSplit/>
        </w:trPr>
        <w:tc>
          <w:tcPr>
            <w:tcW w:type="dxa" w:w="3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Loratadine 10 mg פעם ביום (Allergyx, Lorastine, Loratadim)</w:t>
            </w:r>
          </w:p>
        </w:tc>
        <w:tc>
          <w:tcPr>
            <w:tcW w:type="dxa" w:w="4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דור שני, בדרך כלל פחות מרדים</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ללא מרשם</w:t>
            </w:r>
          </w:p>
        </w:tc>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טבע; באייר; כ.צ.ט</w:t>
            </w:r>
          </w:p>
        </w:tc>
        <w:tc>
          <w:tcPr>
            <w:tcW w:type="dxa" w:w="2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26.66 ₪ (10 טבליות) עד 60.50 ₪ (20)</w:t>
            </w:r>
          </w:p>
        </w:tc>
      </w:tr>
      <w:tr>
        <w:trPr>
          <w:cantSplit/>
        </w:trPr>
        <w:tc>
          <w:tcPr>
            <w:tcW w:type="dxa" w:w="3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Fexofenadine 120/180 mg פעם ביום (Telfast, Fexofenadine Trima, Fexy)</w:t>
            </w:r>
          </w:p>
        </w:tc>
        <w:tc>
          <w:tcPr>
            <w:tcW w:type="dxa" w:w="4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דור שני; בדרך כלל לא מרדים</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ללא מרשם</w:t>
            </w:r>
          </w:p>
        </w:tc>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פרמה שלום; תרימה</w:t>
            </w:r>
          </w:p>
        </w:tc>
        <w:tc>
          <w:tcPr>
            <w:tcW w:type="dxa" w:w="2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120 mg (15): 13.26 ₪</w:t>
            </w:r>
          </w:p>
          <w:p>
            <w:pPr>
              <w:bidi/>
              <w:spacing w:after="20"/>
              <w:jc w:val="right"/>
            </w:pPr>
            <w:r>
              <w:rPr>
                <w:rFonts w:ascii="Arial" w:cs="Arial" w:eastAsia="Arial" w:hAnsi="Arial"/>
                <w:sz w:val="17"/>
                <w:szCs w:val="17"/>
                <w:rtl/>
                <w:lang w:val="he-IL" w:bidi="he-IL"/>
              </w:rPr>
              <w:t xml:space="preserve">180 mg (15): 18.76 ₪</w:t>
            </w:r>
          </w:p>
        </w:tc>
      </w:tr>
      <w:tr>
        <w:trPr>
          <w:cantSplit/>
        </w:trPr>
        <w:tc>
          <w:tcPr>
            <w:tcW w:type="dxa" w:w="3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Desloratadine 5 mg פעם ביום (Aerius)</w:t>
            </w:r>
          </w:p>
        </w:tc>
        <w:tc>
          <w:tcPr>
            <w:tcW w:type="dxa" w:w="4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דור שני</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מרשם</w:t>
            </w:r>
          </w:p>
        </w:tc>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אורגנון</w:t>
            </w:r>
          </w:p>
        </w:tc>
        <w:tc>
          <w:tcPr>
            <w:tcW w:type="dxa" w:w="2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29.95 ₪ (30 טבליות)</w:t>
            </w:r>
          </w:p>
        </w:tc>
      </w:tr>
      <w:tr>
        <w:trPr>
          <w:cantSplit/>
        </w:trPr>
        <w:tc>
          <w:tcPr>
            <w:tcW w:type="dxa" w:w="3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Bilastine 20 mg פעם ביום (Bilaxten)</w:t>
            </w:r>
          </w:p>
        </w:tc>
        <w:tc>
          <w:tcPr>
            <w:tcW w:type="dxa" w:w="4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נלקח על קיבה ריקה</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מרשם</w:t>
            </w:r>
          </w:p>
        </w:tc>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רפא</w:t>
            </w:r>
          </w:p>
        </w:tc>
        <w:tc>
          <w:tcPr>
            <w:tcW w:type="dxa" w:w="2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24.81 ₪ (30 טבליות)</w:t>
            </w:r>
          </w:p>
        </w:tc>
      </w:tr>
      <w:tr>
        <w:trPr>
          <w:cantSplit/>
        </w:trPr>
        <w:tc>
          <w:tcPr>
            <w:tcW w:type="dxa" w:w="3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Rupatadine 10 mg פעם ביום (Rupafin)</w:t>
            </w:r>
          </w:p>
        </w:tc>
        <w:tc>
          <w:tcPr>
            <w:tcW w:type="dxa" w:w="4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אנטיהיסטמין עם פעילות אנטי-PAF</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מרשם</w:t>
            </w:r>
          </w:p>
        </w:tc>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קמהדע</w:t>
            </w:r>
          </w:p>
        </w:tc>
        <w:tc>
          <w:tcPr>
            <w:tcW w:type="dxa" w:w="2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27.87 ₪ (30 טבליות)</w:t>
            </w:r>
          </w:p>
        </w:tc>
      </w:tr>
      <w:tr>
        <w:trPr>
          <w:cantSplit/>
        </w:trPr>
        <w:tc>
          <w:tcPr>
            <w:tcW w:type="dxa" w:w="15398"/>
            <w:gridSpan w:val="5"/>
            <w:tcBorders>
              <w:top w:val="single" w:color="A6A6A6" w:sz="4"/>
              <w:left w:val="single" w:color="A6A6A6" w:sz="4"/>
              <w:bottom w:val="single" w:color="A6A6A6" w:sz="4"/>
              <w:right w:val="single" w:color="A6A6A6" w:sz="4"/>
            </w:tcBorders>
            <w:shd w:fill="D9E2F3" w:color="auto" w:val="clear"/>
            <w:tcMar>
              <w:top w:type="dxa" w:w="50"/>
              <w:left w:type="dxa" w:w="80"/>
              <w:bottom w:type="dxa" w:w="50"/>
              <w:right w:type="dxa" w:w="80"/>
            </w:tcMar>
          </w:tcPr>
          <w:p>
            <w:pPr>
              <w:bidi/>
              <w:spacing w:after="20"/>
              <w:jc w:val="right"/>
            </w:pPr>
            <w:r>
              <w:rPr>
                <w:rFonts w:ascii="Arial" w:cs="Arial" w:eastAsia="Arial" w:hAnsi="Arial"/>
                <w:b/>
                <w:bCs/>
                <w:sz w:val="19"/>
                <w:szCs w:val="19"/>
                <w:rtl/>
                <w:lang w:val="he-IL" w:bidi="he-IL"/>
              </w:rPr>
              <w:t xml:space="preserve">שטיפות אף</w:t>
            </w:r>
          </w:p>
        </w:tc>
      </w:tr>
      <w:tr>
        <w:trPr>
          <w:cantSplit/>
        </w:trPr>
        <w:tc>
          <w:tcPr>
            <w:tcW w:type="dxa" w:w="3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Flo Sinus Care ושטיפות אף בתמיסת מלח (ערכות ושקיות מילוי)</w:t>
            </w:r>
          </w:p>
        </w:tc>
        <w:tc>
          <w:tcPr>
            <w:tcW w:type="dxa" w:w="4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שטיפת אף 1–2 פעמים ביום בתמיסת מלח איזוטונית (נזלת, סינוסיטיס, לאחר ניתוח); להשתמש במים מבושלים שהתקררו או מסוננים/מזוקקים בלבד</w:t>
            </w:r>
          </w:p>
        </w:tc>
        <w:tc>
          <w:tcPr>
            <w:tcW w:type="dxa" w:w="28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מוצר ללא מרשם; לא נמצא במאגר התרופות; לא בסל</w:t>
            </w:r>
          </w:p>
        </w:tc>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
            </w:r>
          </w:p>
        </w:tc>
        <w:tc>
          <w:tcPr>
            <w:tcW w:type="dxa" w:w="2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נבדק</w:t>
            </w:r>
          </w:p>
        </w:tc>
      </w:tr>
    </w:tbl>
    <w:p>
      <w:pPr>
        <w:bidi/>
        <w:spacing w:after="20"/>
        <w:jc w:val="right"/>
      </w:pPr>
      <w:r>
        <w:rPr>
          <w:rFonts w:ascii="Arial" w:cs="Arial" w:eastAsia="Arial" w:hAnsi="Arial"/>
          <w:sz w:val="16"/>
          <w:szCs w:val="16"/>
          <w:rtl/>
          <w:lang w:val="he-IL" w:bidi="he-IL"/>
        </w:rPr>
        <w:t xml:space="preserve">Montelukast (Singulair): ראו סעיף ו. Zyrtec, Xyzal, Claritin, Rhinocort, Dymista ו-Allergodil לא נמצאו כרשומים פעילים במאגר לפי השם.</w:t>
      </w:r>
    </w:p>
    <w:p>
      <w:pPr>
        <w:pStyle w:val="Heading2"/>
        <w:pageBreakBefore/>
        <w:bidi/>
        <w:spacing w:after="60"/>
        <w:jc w:val="right"/>
      </w:pPr>
      <w:r>
        <w:rPr>
          <w:rFonts w:ascii="Arial" w:cs="Arial" w:eastAsia="Arial" w:hAnsi="Arial"/>
          <w:b/>
          <w:bCs/>
          <w:sz w:val="26"/>
          <w:szCs w:val="26"/>
          <w:rtl/>
          <w:lang w:val="he-IL" w:bidi="he-IL"/>
        </w:rPr>
        <w:t xml:space="preserve">נספח ב: תרופות לגמילה מעישון</w:t>
      </w:r>
    </w:p>
    <w:p>
      <w:pPr>
        <w:bidi/>
        <w:spacing w:after="20"/>
        <w:jc w:val="right"/>
      </w:pPr>
      <w:r>
        <w:rPr>
          <w:rFonts w:ascii="Arial" w:cs="Arial" w:eastAsia="Arial" w:hAnsi="Arial"/>
          <w:sz w:val="16"/>
          <w:szCs w:val="16"/>
          <w:rtl/>
          <w:lang w:val="he-IL" w:bidi="he-IL"/>
        </w:rPr>
        <w:t xml:space="preserve">סל: לפי סעיפי הסל במאגר התרופות (21.10.2026). מינונים: לפי העלונים ופרקטיקה מקובלת.</w:t>
      </w:r>
    </w:p>
    <w:tbl>
      <w:tblPr>
        <w:bidiVisual/>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3400"/>
        <w:gridCol w:w="3600"/>
        <w:gridCol w:w="3200"/>
        <w:gridCol w:w="2000"/>
        <w:gridCol w:w="3198"/>
      </w:tblGrid>
      <w:tr>
        <w:trPr>
          <w:cantSplit/>
          <w:tblHeader/>
        </w:trPr>
        <w:tc>
          <w:tcPr>
            <w:tcW w:type="dxa" w:w="3400"/>
            <w:tcBorders>
              <w:top w:val="single" w:color="A6A6A6" w:sz="4"/>
              <w:left w:val="single" w:color="A6A6A6" w:sz="4"/>
              <w:bottom w:val="single" w:color="A6A6A6" w:sz="4"/>
              <w:right w:val="single" w:color="A6A6A6" w:sz="4"/>
            </w:tcBorders>
            <w:shd w:fill="1F3864" w:color="auto" w:val="clear"/>
            <w:tcMar>
              <w:top w:type="dxa" w:w="50"/>
              <w:left w:type="dxa" w:w="80"/>
              <w:bottom w:type="dxa" w:w="50"/>
              <w:right w:type="dxa" w:w="80"/>
            </w:tcMar>
          </w:tcPr>
          <w:p>
            <w:pPr>
              <w:bidi/>
              <w:spacing w:after="20"/>
              <w:jc w:val="center"/>
            </w:pPr>
            <w:r>
              <w:rPr>
                <w:rFonts w:ascii="Arial" w:cs="Arial" w:eastAsia="Arial" w:hAnsi="Arial"/>
                <w:b/>
                <w:bCs/>
                <w:color w:val="FFFFFF"/>
                <w:sz w:val="17"/>
                <w:szCs w:val="17"/>
                <w:rtl/>
                <w:lang w:val="he-IL" w:bidi="he-IL"/>
              </w:rPr>
              <w:t xml:space="preserve">תכשיר ומינון מקובל</w:t>
            </w:r>
          </w:p>
        </w:tc>
        <w:tc>
          <w:tcPr>
            <w:tcW w:type="dxa" w:w="3600"/>
            <w:tcBorders>
              <w:top w:val="single" w:color="A6A6A6" w:sz="4"/>
              <w:left w:val="single" w:color="A6A6A6" w:sz="4"/>
              <w:bottom w:val="single" w:color="A6A6A6" w:sz="4"/>
              <w:right w:val="single" w:color="A6A6A6" w:sz="4"/>
            </w:tcBorders>
            <w:shd w:fill="1F3864" w:color="auto" w:val="clear"/>
            <w:tcMar>
              <w:top w:type="dxa" w:w="50"/>
              <w:left w:type="dxa" w:w="80"/>
              <w:bottom w:type="dxa" w:w="50"/>
              <w:right w:type="dxa" w:w="80"/>
            </w:tcMar>
          </w:tcPr>
          <w:p>
            <w:pPr>
              <w:bidi/>
              <w:spacing w:after="20"/>
              <w:jc w:val="center"/>
            </w:pPr>
            <w:r>
              <w:rPr>
                <w:rFonts w:ascii="Arial" w:cs="Arial" w:eastAsia="Arial" w:hAnsi="Arial"/>
                <w:b/>
                <w:bCs/>
                <w:color w:val="FFFFFF"/>
                <w:sz w:val="17"/>
                <w:szCs w:val="17"/>
                <w:rtl/>
                <w:lang w:val="he-IL" w:bidi="he-IL"/>
              </w:rPr>
              <w:t xml:space="preserve">הערות</w:t>
            </w:r>
          </w:p>
        </w:tc>
        <w:tc>
          <w:tcPr>
            <w:tcW w:type="dxa" w:w="3200"/>
            <w:tcBorders>
              <w:top w:val="single" w:color="A6A6A6" w:sz="4"/>
              <w:left w:val="single" w:color="A6A6A6" w:sz="4"/>
              <w:bottom w:val="single" w:color="A6A6A6" w:sz="4"/>
              <w:right w:val="single" w:color="A6A6A6" w:sz="4"/>
            </w:tcBorders>
            <w:shd w:fill="1F3864" w:color="auto" w:val="clear"/>
            <w:tcMar>
              <w:top w:type="dxa" w:w="50"/>
              <w:left w:type="dxa" w:w="80"/>
              <w:bottom w:type="dxa" w:w="50"/>
              <w:right w:type="dxa" w:w="80"/>
            </w:tcMar>
          </w:tcPr>
          <w:p>
            <w:pPr>
              <w:bidi/>
              <w:spacing w:after="20"/>
              <w:jc w:val="center"/>
            </w:pPr>
            <w:r>
              <w:rPr>
                <w:rFonts w:ascii="Arial" w:cs="Arial" w:eastAsia="Arial" w:hAnsi="Arial"/>
                <w:b/>
                <w:bCs/>
                <w:color w:val="FFFFFF"/>
                <w:sz w:val="17"/>
                <w:szCs w:val="17"/>
                <w:rtl/>
                <w:lang w:val="he-IL" w:bidi="he-IL"/>
              </w:rPr>
              <w:t xml:space="preserve">סל וזכאות</w:t>
            </w:r>
          </w:p>
        </w:tc>
        <w:tc>
          <w:tcPr>
            <w:tcW w:type="dxa" w:w="2000"/>
            <w:tcBorders>
              <w:top w:val="single" w:color="A6A6A6" w:sz="4"/>
              <w:left w:val="single" w:color="A6A6A6" w:sz="4"/>
              <w:bottom w:val="single" w:color="A6A6A6" w:sz="4"/>
              <w:right w:val="single" w:color="A6A6A6" w:sz="4"/>
            </w:tcBorders>
            <w:shd w:fill="1F3864" w:color="auto" w:val="clear"/>
            <w:tcMar>
              <w:top w:type="dxa" w:w="50"/>
              <w:left w:type="dxa" w:w="80"/>
              <w:bottom w:type="dxa" w:w="50"/>
              <w:right w:type="dxa" w:w="80"/>
            </w:tcMar>
          </w:tcPr>
          <w:p>
            <w:pPr>
              <w:bidi/>
              <w:spacing w:after="20"/>
              <w:jc w:val="center"/>
            </w:pPr>
            <w:r>
              <w:rPr>
                <w:rFonts w:ascii="Arial" w:cs="Arial" w:eastAsia="Arial" w:hAnsi="Arial"/>
                <w:b/>
                <w:bCs/>
                <w:color w:val="FFFFFF"/>
                <w:sz w:val="17"/>
                <w:szCs w:val="17"/>
                <w:rtl/>
                <w:lang w:val="he-IL" w:bidi="he-IL"/>
              </w:rPr>
              <w:t xml:space="preserve">חברה</w:t>
            </w:r>
          </w:p>
        </w:tc>
        <w:tc>
          <w:tcPr>
            <w:tcW w:type="dxa" w:w="3198"/>
            <w:tcBorders>
              <w:top w:val="single" w:color="A6A6A6" w:sz="4"/>
              <w:left w:val="single" w:color="A6A6A6" w:sz="4"/>
              <w:bottom w:val="single" w:color="A6A6A6" w:sz="4"/>
              <w:right w:val="single" w:color="A6A6A6" w:sz="4"/>
            </w:tcBorders>
            <w:shd w:fill="1F3864" w:color="auto" w:val="clear"/>
            <w:tcMar>
              <w:top w:type="dxa" w:w="50"/>
              <w:left w:type="dxa" w:w="80"/>
              <w:bottom w:type="dxa" w:w="50"/>
              <w:right w:type="dxa" w:w="80"/>
            </w:tcMar>
          </w:tcPr>
          <w:p>
            <w:pPr>
              <w:bidi/>
              <w:spacing w:after="20"/>
              <w:jc w:val="center"/>
            </w:pPr>
            <w:r>
              <w:rPr>
                <w:rFonts w:ascii="Arial" w:cs="Arial" w:eastAsia="Arial" w:hAnsi="Arial"/>
                <w:b/>
                <w:bCs/>
                <w:color w:val="FFFFFF"/>
                <w:sz w:val="17"/>
                <w:szCs w:val="17"/>
                <w:rtl/>
                <w:lang w:val="he-IL" w:bidi="he-IL"/>
              </w:rPr>
              <w:t xml:space="preserve">מחיר מרבי לצרכן כולל מע"מ</w:t>
            </w:r>
          </w:p>
        </w:tc>
      </w:tr>
      <w:tr>
        <w:trPr>
          <w:cantSplit/>
        </w:trPr>
        <w:tc>
          <w:tcPr>
            <w:tcW w:type="dxa" w:w="3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Champix (Varenicline 0.5/1 mg)</w:t>
            </w:r>
          </w:p>
          <w:p>
            <w:pPr>
              <w:bidi/>
              <w:spacing w:after="20"/>
              <w:jc w:val="right"/>
            </w:pPr>
            <w:r>
              <w:rPr>
                <w:rFonts w:ascii="Arial" w:cs="Arial" w:eastAsia="Arial" w:hAnsi="Arial"/>
                <w:sz w:val="17"/>
                <w:szCs w:val="17"/>
                <w:rtl/>
                <w:lang w:val="he-IL" w:bidi="he-IL"/>
              </w:rPr>
              <w:t xml:space="preserve">ימים 1–3: 0.5 מ"ג פעם ביום; ימים 4–7: 0.5 מ"ג פעמיים; ואז 1 מ"ג פעמיים ביום, כ-12 שבועות</w:t>
            </w:r>
          </w:p>
        </w:tc>
        <w:tc>
          <w:tcPr>
            <w:tcW w:type="dxa" w:w="3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עזר בגמילה מעישון, מגיל 18. גנריקה רשומה: Apo-Varenicline (Medomie)</w:t>
            </w:r>
          </w:p>
        </w:tc>
        <w:tc>
          <w:tcPr>
            <w:tcW w:type="dxa" w:w="3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 בתנאי ליווי תומך או השתתפות בסדנת גמילה של קופות החולים</w:t>
            </w:r>
          </w:p>
        </w:tc>
        <w:tc>
          <w:tcPr>
            <w:tcW w:type="dxa" w:w="2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פייזר</w:t>
            </w:r>
          </w:p>
        </w:tc>
        <w:tc>
          <w:tcPr>
            <w:tcW w:type="dxa" w:w="31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0.5 mg (55): 265.05 ₪</w:t>
            </w:r>
          </w:p>
          <w:p>
            <w:pPr>
              <w:bidi/>
              <w:spacing w:after="20"/>
              <w:jc w:val="right"/>
            </w:pPr>
            <w:r>
              <w:rPr>
                <w:rFonts w:ascii="Arial" w:cs="Arial" w:eastAsia="Arial" w:hAnsi="Arial"/>
                <w:sz w:val="17"/>
                <w:szCs w:val="17"/>
                <w:rtl/>
                <w:lang w:val="he-IL" w:bidi="he-IL"/>
              </w:rPr>
              <w:t xml:space="preserve">1 mg (56): 257.69 ₪</w:t>
            </w:r>
          </w:p>
          <w:p>
            <w:pPr>
              <w:bidi/>
              <w:spacing w:after="20"/>
              <w:jc w:val="right"/>
            </w:pPr>
            <w:r>
              <w:rPr>
                <w:rFonts w:ascii="Arial" w:cs="Arial" w:eastAsia="Arial" w:hAnsi="Arial"/>
                <w:sz w:val="17"/>
                <w:szCs w:val="17"/>
                <w:rtl/>
                <w:lang w:val="he-IL" w:bidi="he-IL"/>
              </w:rPr>
              <w:t xml:space="preserve">מארז התחלה (53): 249.17 ₪</w:t>
            </w:r>
          </w:p>
        </w:tc>
      </w:tr>
      <w:tr>
        <w:trPr>
          <w:cantSplit/>
        </w:trPr>
        <w:tc>
          <w:tcPr>
            <w:tcW w:type="dxa" w:w="3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Zyban (Bupropion SR 150 mg)</w:t>
            </w:r>
          </w:p>
          <w:p>
            <w:pPr>
              <w:bidi/>
              <w:spacing w:after="20"/>
              <w:jc w:val="right"/>
            </w:pPr>
            <w:r>
              <w:rPr>
                <w:rFonts w:ascii="Arial" w:cs="Arial" w:eastAsia="Arial" w:hAnsi="Arial"/>
                <w:sz w:val="17"/>
                <w:szCs w:val="17"/>
                <w:rtl/>
                <w:lang w:val="he-IL" w:bidi="he-IL"/>
              </w:rPr>
              <w:t xml:space="preserve">150 מ"ג פעם ביום 3–6 ימים, ואז 150 מ"ג פעמיים ביום, כ-7–9 שבועות</w:t>
            </w:r>
          </w:p>
        </w:tc>
        <w:tc>
          <w:tcPr>
            <w:tcW w:type="dxa" w:w="3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נוגד התוויה, בין השאר: היסטוריית פרכוסים והפרעות אכילה</w:t>
            </w:r>
          </w:p>
        </w:tc>
        <w:tc>
          <w:tcPr>
            <w:tcW w:type="dxa" w:w="3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 באותם תנאים כמו Champix</w:t>
            </w:r>
          </w:p>
        </w:tc>
        <w:tc>
          <w:tcPr>
            <w:tcW w:type="dxa" w:w="2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ג.ס.ק</w:t>
            </w:r>
          </w:p>
        </w:tc>
        <w:tc>
          <w:tcPr>
            <w:tcW w:type="dxa" w:w="31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128.94 ₪ (60 טבליות)</w:t>
            </w:r>
          </w:p>
        </w:tc>
      </w:tr>
      <w:tr>
        <w:trPr>
          <w:cantSplit/>
        </w:trPr>
        <w:tc>
          <w:tcPr>
            <w:tcW w:type="dxa" w:w="3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Nicotinell TTS (מדבקות 10/20/30)</w:t>
            </w:r>
          </w:p>
          <w:p>
            <w:pPr>
              <w:bidi/>
              <w:spacing w:after="20"/>
              <w:jc w:val="right"/>
            </w:pPr>
            <w:r>
              <w:rPr>
                <w:rFonts w:ascii="Arial" w:cs="Arial" w:eastAsia="Arial" w:hAnsi="Arial"/>
                <w:sz w:val="17"/>
                <w:szCs w:val="17"/>
                <w:rtl/>
                <w:lang w:val="he-IL" w:bidi="he-IL"/>
              </w:rPr>
              <w:t xml:space="preserve">לפי מספר סיגריות ביום</w:t>
            </w:r>
          </w:p>
        </w:tc>
        <w:tc>
          <w:tcPr>
            <w:tcW w:type="dxa" w:w="3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תחליף ניקוטין, מדבקה ל-24 שעות</w:t>
            </w:r>
          </w:p>
        </w:tc>
        <w:tc>
          <w:tcPr>
            <w:tcW w:type="dxa" w:w="3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ללא מרשם</w:t>
            </w:r>
          </w:p>
        </w:tc>
        <w:tc>
          <w:tcPr>
            <w:tcW w:type="dxa" w:w="2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ג.ס.ק</w:t>
            </w:r>
          </w:p>
        </w:tc>
        <w:tc>
          <w:tcPr>
            <w:tcW w:type="dxa" w:w="31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98.29 ₪ (10) / 109.70 ₪ (20) / 109.70 ₪ (30), 7 מדבקות</w:t>
            </w:r>
          </w:p>
        </w:tc>
      </w:tr>
      <w:tr>
        <w:trPr>
          <w:cantSplit/>
        </w:trPr>
        <w:tc>
          <w:tcPr>
            <w:tcW w:type="dxa" w:w="3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Nicotinell gum 2 mg</w:t>
            </w:r>
          </w:p>
        </w:tc>
        <w:tc>
          <w:tcPr>
            <w:tcW w:type="dxa" w:w="3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מסטיק ניקוטין</w:t>
            </w:r>
          </w:p>
        </w:tc>
        <w:tc>
          <w:tcPr>
            <w:tcW w:type="dxa" w:w="3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ללא מרשם</w:t>
            </w:r>
          </w:p>
        </w:tc>
        <w:tc>
          <w:tcPr>
            <w:tcW w:type="dxa" w:w="2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ג.ס.ק</w:t>
            </w:r>
          </w:p>
        </w:tc>
        <w:tc>
          <w:tcPr>
            <w:tcW w:type="dxa" w:w="31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122.06 ₪ (96 מסטיקים)</w:t>
            </w:r>
          </w:p>
        </w:tc>
      </w:tr>
      <w:tr>
        <w:trPr>
          <w:cantSplit/>
        </w:trPr>
        <w:tc>
          <w:tcPr>
            <w:tcW w:type="dxa" w:w="3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Nicotinell lozenges 1 mg</w:t>
            </w:r>
          </w:p>
        </w:tc>
        <w:tc>
          <w:tcPr>
            <w:tcW w:type="dxa" w:w="3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פסטילות מציצה</w:t>
            </w:r>
          </w:p>
        </w:tc>
        <w:tc>
          <w:tcPr>
            <w:tcW w:type="dxa" w:w="3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 בתנאי סדנת גמילה, עבור נגמלים שאינם יכולים להשתמש ב-Buprenorphine או Varenicline בגלל אזהרות או הוריות נגד</w:t>
            </w:r>
          </w:p>
        </w:tc>
        <w:tc>
          <w:tcPr>
            <w:tcW w:type="dxa" w:w="2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Professional Pharm (בעל רישום)</w:t>
            </w:r>
          </w:p>
        </w:tc>
        <w:tc>
          <w:tcPr>
            <w:tcW w:type="dxa" w:w="31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לא נמצא במחירון</w:t>
            </w:r>
          </w:p>
        </w:tc>
      </w:tr>
      <w:tr>
        <w:trPr>
          <w:cantSplit/>
        </w:trPr>
        <w:tc>
          <w:tcPr>
            <w:tcW w:type="dxa" w:w="3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Nicorette Quick Mist spray 1 mg</w:t>
            </w:r>
          </w:p>
        </w:tc>
        <w:tc>
          <w:tcPr>
            <w:tcW w:type="dxa" w:w="3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תרסיס ניקוטין לפה</w:t>
            </w:r>
          </w:p>
        </w:tc>
        <w:tc>
          <w:tcPr>
            <w:tcW w:type="dxa" w:w="3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ללא מרשם</w:t>
            </w:r>
          </w:p>
        </w:tc>
        <w:tc>
          <w:tcPr>
            <w:tcW w:type="dxa" w:w="20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ג'ונסון אנד ג'ונסון</w:t>
            </w:r>
          </w:p>
        </w:tc>
        <w:tc>
          <w:tcPr>
            <w:tcW w:type="dxa" w:w="31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134.14 ₪ (13.2 מ"ל)</w:t>
            </w:r>
          </w:p>
        </w:tc>
      </w:tr>
    </w:tbl>
    <w:p>
      <w:pPr>
        <w:bidi/>
        <w:spacing w:after="20"/>
        <w:jc w:val="right"/>
      </w:pPr>
      <w:r>
        <w:rPr>
          <w:rFonts w:ascii="Arial" w:cs="Arial" w:eastAsia="Arial" w:hAnsi="Arial"/>
          <w:sz w:val="16"/>
          <w:szCs w:val="16"/>
          <w:rtl/>
          <w:lang w:val="he-IL" w:bidi="he-IL"/>
        </w:rPr>
        <w:t xml:space="preserve">Cytisine (Tabex) לא נמצא במאגר לפי השם. Wellbutrin XR ו-Auvelity רשומים לדיכאון ולא לגמילה מעישון.</w:t>
      </w:r>
    </w:p>
    <w:p>
      <w:pPr>
        <w:pStyle w:val="Heading2"/>
        <w:pageBreakBefore/>
        <w:bidi/>
        <w:spacing w:after="60"/>
        <w:jc w:val="right"/>
      </w:pPr>
      <w:r>
        <w:rPr>
          <w:rFonts w:ascii="Arial" w:cs="Arial" w:eastAsia="Arial" w:hAnsi="Arial"/>
          <w:b/>
          <w:bCs/>
          <w:sz w:val="26"/>
          <w:szCs w:val="26"/>
          <w:rtl/>
          <w:lang w:val="he-IL" w:bidi="he-IL"/>
        </w:rPr>
        <w:t xml:space="preserve">נספח ג: חיסונים הקשורים למחלות ריאה</w:t>
      </w:r>
    </w:p>
    <w:p>
      <w:pPr>
        <w:bidi/>
        <w:spacing w:after="20"/>
        <w:jc w:val="right"/>
      </w:pPr>
      <w:r>
        <w:rPr>
          <w:rFonts w:ascii="Arial" w:cs="Arial" w:eastAsia="Arial" w:hAnsi="Arial"/>
          <w:sz w:val="16"/>
          <w:szCs w:val="16"/>
          <w:rtl/>
          <w:lang w:val="he-IL" w:bidi="he-IL"/>
        </w:rPr>
        <w:t xml:space="preserve">סטטוס רישום וסל ממאגר התרופות (21.10.2026). ההמלצות הקליניות הן כלליות, ויש לאמת מול תדריך החיסונים העדכני של משרד הבריאות. חיסונים חיים מוחלשים (כגון MMR, אבעבועות רוח) אינם מתאימים לרוב המטופלים בדיכוי חיסוני משמעותי, ויש לבדוק זאת לפני תחילת טיפול.</w:t>
      </w:r>
    </w:p>
    <w:tbl>
      <w:tblPr>
        <w:bidiVisual/>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2200"/>
        <w:gridCol w:w="3300"/>
        <w:gridCol w:w="2400"/>
        <w:gridCol w:w="3300"/>
        <w:gridCol w:w="1900"/>
        <w:gridCol w:w="2298"/>
      </w:tblGrid>
      <w:tr>
        <w:trPr>
          <w:cantSplit/>
          <w:tblHeader/>
        </w:trPr>
        <w:tc>
          <w:tcPr>
            <w:tcW w:type="dxa" w:w="2200"/>
            <w:tcBorders>
              <w:top w:val="single" w:color="A6A6A6" w:sz="4"/>
              <w:left w:val="single" w:color="A6A6A6" w:sz="4"/>
              <w:bottom w:val="single" w:color="A6A6A6" w:sz="4"/>
              <w:right w:val="single" w:color="A6A6A6" w:sz="4"/>
            </w:tcBorders>
            <w:shd w:fill="1F3864" w:color="auto" w:val="clear"/>
            <w:tcMar>
              <w:top w:type="dxa" w:w="50"/>
              <w:left w:type="dxa" w:w="80"/>
              <w:bottom w:type="dxa" w:w="50"/>
              <w:right w:type="dxa" w:w="80"/>
            </w:tcMar>
          </w:tcPr>
          <w:p>
            <w:pPr>
              <w:bidi/>
              <w:spacing w:after="20"/>
              <w:jc w:val="center"/>
            </w:pPr>
            <w:r>
              <w:rPr>
                <w:rFonts w:ascii="Arial" w:cs="Arial" w:eastAsia="Arial" w:hAnsi="Arial"/>
                <w:b/>
                <w:bCs/>
                <w:color w:val="FFFFFF"/>
                <w:sz w:val="17"/>
                <w:szCs w:val="17"/>
                <w:rtl/>
                <w:lang w:val="he-IL" w:bidi="he-IL"/>
              </w:rPr>
              <w:t xml:space="preserve">חיסון</w:t>
            </w:r>
          </w:p>
        </w:tc>
        <w:tc>
          <w:tcPr>
            <w:tcW w:type="dxa" w:w="3300"/>
            <w:tcBorders>
              <w:top w:val="single" w:color="A6A6A6" w:sz="4"/>
              <w:left w:val="single" w:color="A6A6A6" w:sz="4"/>
              <w:bottom w:val="single" w:color="A6A6A6" w:sz="4"/>
              <w:right w:val="single" w:color="A6A6A6" w:sz="4"/>
            </w:tcBorders>
            <w:shd w:fill="1F3864" w:color="auto" w:val="clear"/>
            <w:tcMar>
              <w:top w:type="dxa" w:w="50"/>
              <w:left w:type="dxa" w:w="80"/>
              <w:bottom w:type="dxa" w:w="50"/>
              <w:right w:type="dxa" w:w="80"/>
            </w:tcMar>
          </w:tcPr>
          <w:p>
            <w:pPr>
              <w:bidi/>
              <w:spacing w:after="20"/>
              <w:jc w:val="center"/>
            </w:pPr>
            <w:r>
              <w:rPr>
                <w:rFonts w:ascii="Arial" w:cs="Arial" w:eastAsia="Arial" w:hAnsi="Arial"/>
                <w:b/>
                <w:bCs/>
                <w:color w:val="FFFFFF"/>
                <w:sz w:val="17"/>
                <w:szCs w:val="17"/>
                <w:rtl/>
                <w:lang w:val="he-IL" w:bidi="he-IL"/>
              </w:rPr>
              <w:t xml:space="preserve">למי ומתי</w:t>
            </w:r>
          </w:p>
        </w:tc>
        <w:tc>
          <w:tcPr>
            <w:tcW w:type="dxa" w:w="2400"/>
            <w:tcBorders>
              <w:top w:val="single" w:color="A6A6A6" w:sz="4"/>
              <w:left w:val="single" w:color="A6A6A6" w:sz="4"/>
              <w:bottom w:val="single" w:color="A6A6A6" w:sz="4"/>
              <w:right w:val="single" w:color="A6A6A6" w:sz="4"/>
            </w:tcBorders>
            <w:shd w:fill="1F3864" w:color="auto" w:val="clear"/>
            <w:tcMar>
              <w:top w:type="dxa" w:w="50"/>
              <w:left w:type="dxa" w:w="80"/>
              <w:bottom w:type="dxa" w:w="50"/>
              <w:right w:type="dxa" w:w="80"/>
            </w:tcMar>
          </w:tcPr>
          <w:p>
            <w:pPr>
              <w:bidi/>
              <w:spacing w:after="20"/>
              <w:jc w:val="center"/>
            </w:pPr>
            <w:r>
              <w:rPr>
                <w:rFonts w:ascii="Arial" w:cs="Arial" w:eastAsia="Arial" w:hAnsi="Arial"/>
                <w:b/>
                <w:bCs/>
                <w:color w:val="FFFFFF"/>
                <w:sz w:val="17"/>
                <w:szCs w:val="17"/>
                <w:rtl/>
                <w:lang w:val="he-IL" w:bidi="he-IL"/>
              </w:rPr>
              <w:t xml:space="preserve">סוג ולוח</w:t>
            </w:r>
          </w:p>
        </w:tc>
        <w:tc>
          <w:tcPr>
            <w:tcW w:type="dxa" w:w="3300"/>
            <w:tcBorders>
              <w:top w:val="single" w:color="A6A6A6" w:sz="4"/>
              <w:left w:val="single" w:color="A6A6A6" w:sz="4"/>
              <w:bottom w:val="single" w:color="A6A6A6" w:sz="4"/>
              <w:right w:val="single" w:color="A6A6A6" w:sz="4"/>
            </w:tcBorders>
            <w:shd w:fill="1F3864" w:color="auto" w:val="clear"/>
            <w:tcMar>
              <w:top w:type="dxa" w:w="50"/>
              <w:left w:type="dxa" w:w="80"/>
              <w:bottom w:type="dxa" w:w="50"/>
              <w:right w:type="dxa" w:w="80"/>
            </w:tcMar>
          </w:tcPr>
          <w:p>
            <w:pPr>
              <w:bidi/>
              <w:spacing w:after="20"/>
              <w:jc w:val="center"/>
            </w:pPr>
            <w:r>
              <w:rPr>
                <w:rFonts w:ascii="Arial" w:cs="Arial" w:eastAsia="Arial" w:hAnsi="Arial"/>
                <w:b/>
                <w:bCs/>
                <w:color w:val="FFFFFF"/>
                <w:sz w:val="17"/>
                <w:szCs w:val="17"/>
                <w:rtl/>
                <w:lang w:val="he-IL" w:bidi="he-IL"/>
              </w:rPr>
              <w:t xml:space="preserve">סל וזכאות בישראל</w:t>
            </w:r>
          </w:p>
        </w:tc>
        <w:tc>
          <w:tcPr>
            <w:tcW w:type="dxa" w:w="1900"/>
            <w:tcBorders>
              <w:top w:val="single" w:color="A6A6A6" w:sz="4"/>
              <w:left w:val="single" w:color="A6A6A6" w:sz="4"/>
              <w:bottom w:val="single" w:color="A6A6A6" w:sz="4"/>
              <w:right w:val="single" w:color="A6A6A6" w:sz="4"/>
            </w:tcBorders>
            <w:shd w:fill="1F3864" w:color="auto" w:val="clear"/>
            <w:tcMar>
              <w:top w:type="dxa" w:w="50"/>
              <w:left w:type="dxa" w:w="80"/>
              <w:bottom w:type="dxa" w:w="50"/>
              <w:right w:type="dxa" w:w="80"/>
            </w:tcMar>
          </w:tcPr>
          <w:p>
            <w:pPr>
              <w:bidi/>
              <w:spacing w:after="20"/>
              <w:jc w:val="center"/>
            </w:pPr>
            <w:r>
              <w:rPr>
                <w:rFonts w:ascii="Arial" w:cs="Arial" w:eastAsia="Arial" w:hAnsi="Arial"/>
                <w:b/>
                <w:bCs/>
                <w:color w:val="FFFFFF"/>
                <w:sz w:val="17"/>
                <w:szCs w:val="17"/>
                <w:rtl/>
                <w:lang w:val="he-IL" w:bidi="he-IL"/>
              </w:rPr>
              <w:t xml:space="preserve">חברה (בעל רישום)</w:t>
            </w:r>
          </w:p>
        </w:tc>
        <w:tc>
          <w:tcPr>
            <w:tcW w:type="dxa" w:w="2298"/>
            <w:tcBorders>
              <w:top w:val="single" w:color="A6A6A6" w:sz="4"/>
              <w:left w:val="single" w:color="A6A6A6" w:sz="4"/>
              <w:bottom w:val="single" w:color="A6A6A6" w:sz="4"/>
              <w:right w:val="single" w:color="A6A6A6" w:sz="4"/>
            </w:tcBorders>
            <w:shd w:fill="1F3864" w:color="auto" w:val="clear"/>
            <w:tcMar>
              <w:top w:type="dxa" w:w="50"/>
              <w:left w:type="dxa" w:w="80"/>
              <w:bottom w:type="dxa" w:w="50"/>
              <w:right w:type="dxa" w:w="80"/>
            </w:tcMar>
          </w:tcPr>
          <w:p>
            <w:pPr>
              <w:bidi/>
              <w:spacing w:after="20"/>
              <w:jc w:val="center"/>
            </w:pPr>
            <w:r>
              <w:rPr>
                <w:rFonts w:ascii="Arial" w:cs="Arial" w:eastAsia="Arial" w:hAnsi="Arial"/>
                <w:b/>
                <w:bCs/>
                <w:color w:val="FFFFFF"/>
                <w:sz w:val="17"/>
                <w:szCs w:val="17"/>
                <w:rtl/>
                <w:lang w:val="he-IL" w:bidi="he-IL"/>
              </w:rPr>
              <w:t xml:space="preserve">הערות</w:t>
            </w:r>
          </w:p>
        </w:tc>
      </w:tr>
      <w:tr>
        <w:trPr>
          <w:cantSplit/>
        </w:trPr>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שפעת (Influvac Tetra, Vaxigrip Tetra, Fluarix Tetra, Efluelda)</w:t>
            </w:r>
          </w:p>
        </w:tc>
        <w:tc>
          <w:tcPr>
            <w:tcW w:type="dxa" w:w="3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מדי שנה. מומלץ במיוחד בחולי ריאה כרוניים, ILD ומדוכאי חיסון. Efluelda: מינון גבוה</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מומת, מנה שנתית</w:t>
            </w:r>
          </w:p>
        </w:tc>
        <w:tc>
          <w:tcPr>
            <w:tcW w:type="dxa" w:w="3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Influvac ו-Fluarix Tetra מסומנים בסל במאגר. הזכאות לקבוצות סיכון לפי הנחיות משרד הבריאות</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Abbott; Sanofi; GSK</w:t>
            </w:r>
          </w:p>
        </w:tc>
        <w:tc>
          <w:tcPr>
            <w:tcW w:type="dxa" w:w="22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בטוח במדוכאי חיסון. עדיף לתזמן לפני תחילת טיפול מדכא</w:t>
            </w:r>
          </w:p>
        </w:tc>
      </w:tr>
      <w:tr>
        <w:trPr>
          <w:cantSplit/>
        </w:trPr>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פנאומוקוק (Prevenar 20, Pneumovax 23, Prevenar 13; Vaxneuvance, Capvaxive)</w:t>
            </w:r>
          </w:p>
        </w:tc>
        <w:tc>
          <w:tcPr>
            <w:tcW w:type="dxa" w:w="3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חולי ריאה כרוניים, ILD, מדוכאי חיסון ומבוגרים 65+</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מומת. Prevenar 20: מנה אחת. סדרה לפי תדריך משרד הבריאות</w:t>
            </w:r>
          </w:p>
        </w:tc>
        <w:tc>
          <w:tcPr>
            <w:tcW w:type="dxa" w:w="3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Prevenar 20: בסל לבני 65+ שאינם בקבוצת סיכון גבוה במיוחד לפי תדריך החיסונים. Pneumovax 23 ו-Prevenar 13 בסל. Vaxneuvance ו-Capvaxive רשומים, לא 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Pfizer; MSD</w:t>
            </w:r>
          </w:p>
        </w:tc>
        <w:tc>
          <w:tcPr>
            <w:tcW w:type="dxa" w:w="22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קבוצות סיכון גבוה במיוחד: לפי תדריך משרד הבריאות</w:t>
            </w:r>
          </w:p>
        </w:tc>
      </w:tr>
      <w:tr>
        <w:trPr>
          <w:cantSplit/>
        </w:trPr>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RSV (Arexvy, Abrysvo, mRESVIA)</w:t>
            </w:r>
          </w:p>
        </w:tc>
        <w:tc>
          <w:tcPr>
            <w:tcW w:type="dxa" w:w="3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מבוגרים 60+; חלק מהתכשירים גם 50–59 בסיכון. במיוחד COPD, אסתמה, ILD, אי-ספיקת לב ומדוכאי חיסון. Abrysvo גם בהיריון</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מנה אחת; חיזוק לפי הנחיות מתעדכנות</w:t>
            </w:r>
          </w:p>
        </w:tc>
        <w:tc>
          <w:tcPr>
            <w:tcW w:type="dxa" w:w="3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רשומים בישראל, לא בסל</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GSK; Pfizer; מדיסון (mRESVIA)</w:t>
            </w:r>
          </w:p>
        </w:tc>
        <w:tc>
          <w:tcPr>
            <w:tcW w:type="dxa" w:w="22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Arexvy ו-Abrysvo: רקומביננטי; mRESVIA: mRNA</w:t>
            </w:r>
          </w:p>
        </w:tc>
      </w:tr>
      <w:tr>
        <w:trPr>
          <w:cantSplit/>
        </w:trPr>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קורונה (Comirnaty)</w:t>
            </w:r>
          </w:p>
        </w:tc>
        <w:tc>
          <w:tcPr>
            <w:tcW w:type="dxa" w:w="3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מגיל 12; חיסון שנתי לפי הנחיות משרד הבריאות, בדגש על חולי ריאה ומדוכאי חיסון</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mRNA, לפי הנחיות</w:t>
            </w:r>
          </w:p>
        </w:tc>
        <w:tc>
          <w:tcPr>
            <w:tcW w:type="dxa" w:w="3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רשום, לא בסל לפי המאגר. זכאות לפי הנחיות משרד הבריאות</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Pfizer</w:t>
            </w:r>
          </w:p>
        </w:tc>
        <w:tc>
          <w:tcPr>
            <w:tcW w:type="dxa" w:w="22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
            </w:r>
          </w:p>
        </w:tc>
      </w:tr>
      <w:tr>
        <w:trPr>
          <w:cantSplit/>
        </w:trPr>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הרפס זוסטר (Shingrix)</w:t>
            </w:r>
          </w:p>
        </w:tc>
        <w:tc>
          <w:tcPr>
            <w:tcW w:type="dxa" w:w="3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מניעת זוסטר ונוירלגיה פוסט-הרפטית. מומלץ במיוחד לפני או במהלך טיפול מדכא חיסון</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רקומביננטי (לא חי). 2 מנות במרווח 2–6 חודשים; ניתן לקצר ל-1–2 חודשים במדוכאי חיסון</w:t>
            </w:r>
          </w:p>
        </w:tc>
        <w:tc>
          <w:tcPr>
            <w:tcW w:type="dxa" w:w="3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בסל: גיל 65+; וגיל 18+ עם סיכון מוגבר (דיכוי חיסוני עם קריטריונים נוספים, ביניהם השתלת תאי גזע, השתלת איבר, HIV, ממאירות פעילה). הנוסח המלא במאגר</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GSK</w:t>
            </w:r>
          </w:p>
        </w:tc>
        <w:tc>
          <w:tcPr>
            <w:tcW w:type="dxa" w:w="22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בטוח במדוכאי חיסון. חיסון חי מוחלש כנגד זוסטר אינו מתאים להם</w:t>
            </w:r>
          </w:p>
        </w:tc>
      </w:tr>
      <w:tr>
        <w:trPr>
          <w:cantSplit/>
        </w:trPr>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שעלת (Tdap: Boostrix, Adacel)</w:t>
            </w:r>
          </w:p>
        </w:tc>
        <w:tc>
          <w:tcPr>
            <w:tcW w:type="dxa" w:w="3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מנת חיזוק למבוגרים; בכל היריון</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מומת. Td כל 10 שנים</w:t>
            </w:r>
          </w:p>
        </w:tc>
        <w:tc>
          <w:tcPr>
            <w:tcW w:type="dxa" w:w="3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Boostrix: בסל להיריון. Adacel רשום</w:t>
            </w:r>
          </w:p>
        </w:tc>
        <w:tc>
          <w:tcPr>
            <w:tcW w:type="dxa" w:w="19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GSK; Sanofi</w:t>
            </w:r>
          </w:p>
        </w:tc>
        <w:tc>
          <w:tcPr>
            <w:tcW w:type="dxa" w:w="22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
            </w:r>
          </w:p>
        </w:tc>
      </w:tr>
    </w:tbl>
    <w:p>
      <w:pPr>
        <w:pStyle w:val="Heading2"/>
        <w:pageBreakBefore/>
        <w:bidi/>
        <w:spacing w:after="60"/>
        <w:jc w:val="right"/>
      </w:pPr>
      <w:r>
        <w:rPr>
          <w:rFonts w:ascii="Arial" w:cs="Arial" w:eastAsia="Arial" w:hAnsi="Arial"/>
          <w:b/>
          <w:bCs/>
          <w:sz w:val="26"/>
          <w:szCs w:val="26"/>
          <w:rtl/>
          <w:lang w:val="he-IL" w:bidi="he-IL"/>
        </w:rPr>
        <w:t xml:space="preserve">נספח ד: המלצות לבירור ומעקב בטיפול תרופתי</w:t>
      </w:r>
    </w:p>
    <w:p>
      <w:pPr>
        <w:bidi/>
        <w:spacing w:after="20"/>
        <w:jc w:val="right"/>
      </w:pPr>
      <w:r>
        <w:rPr>
          <w:rFonts w:ascii="Arial" w:cs="Arial" w:eastAsia="Arial" w:hAnsi="Arial"/>
          <w:sz w:val="16"/>
          <w:szCs w:val="16"/>
          <w:rtl/>
          <w:lang w:val="he-IL" w:bidi="he-IL"/>
        </w:rPr>
        <w:t xml:space="preserve">הטבלה היא כלי עזר לרופאי האיגוד הישראלי למחלות ריאה בלבד, ואין לראות בה ייעוץ רפואי. הטבלה כללית ומיועדת לעיון. הנוסח הוא "מומלץ לשקול" ואינו מחליף שיקול דעת קליני, פרוטוקול מוסדי או עלון התכשיר. שורות המסומנות "ERS 2021" לקוחות מטבלה 2 של ההנחיות: Baughman RP, et al. ERS clinical practice guidelines on treatment of sarcoidosis. Eur Respir J 2021;58(6):2004079, DOI 10.1183/13993003.04079-2020. שאר השורות מבוססות על עלוני התכשירים ופרקטיקה מקובלת,.</w:t>
      </w:r>
    </w:p>
    <w:tbl>
      <w:tblPr>
        <w:bidiVisual/>
        <w:tblW w:type="dxa" w:w="15398"/>
        <w:tblBorders>
          <w:top w:val="single" w:color="auto" w:sz="4"/>
          <w:left w:val="single" w:color="auto" w:sz="4"/>
          <w:bottom w:val="single" w:color="auto" w:sz="4"/>
          <w:right w:val="single" w:color="auto" w:sz="4"/>
          <w:insideH w:val="single" w:color="auto" w:sz="4"/>
          <w:insideV w:val="single" w:color="auto" w:sz="4"/>
        </w:tblBorders>
      </w:tblPr>
      <w:tblGrid>
        <w:gridCol w:w="2200"/>
        <w:gridCol w:w="2300"/>
        <w:gridCol w:w="3500"/>
        <w:gridCol w:w="4200"/>
        <w:gridCol w:w="3198"/>
      </w:tblGrid>
      <w:tr>
        <w:trPr>
          <w:cantSplit/>
          <w:tblHeader/>
        </w:trPr>
        <w:tc>
          <w:tcPr>
            <w:tcW w:type="dxa" w:w="2200"/>
            <w:tcBorders>
              <w:top w:val="single" w:color="A6A6A6" w:sz="4"/>
              <w:left w:val="single" w:color="A6A6A6" w:sz="4"/>
              <w:bottom w:val="single" w:color="A6A6A6" w:sz="4"/>
              <w:right w:val="single" w:color="A6A6A6" w:sz="4"/>
            </w:tcBorders>
            <w:shd w:fill="1F3864" w:color="auto" w:val="clear"/>
            <w:tcMar>
              <w:top w:type="dxa" w:w="50"/>
              <w:left w:type="dxa" w:w="80"/>
              <w:bottom w:type="dxa" w:w="50"/>
              <w:right w:type="dxa" w:w="80"/>
            </w:tcMar>
          </w:tcPr>
          <w:p>
            <w:pPr>
              <w:bidi/>
              <w:spacing w:after="20"/>
              <w:jc w:val="center"/>
            </w:pPr>
            <w:r>
              <w:rPr>
                <w:rFonts w:ascii="Arial" w:cs="Arial" w:eastAsia="Arial" w:hAnsi="Arial"/>
                <w:b/>
                <w:bCs/>
                <w:color w:val="FFFFFF"/>
                <w:sz w:val="17"/>
                <w:szCs w:val="17"/>
                <w:rtl/>
                <w:lang w:val="he-IL" w:bidi="he-IL"/>
              </w:rPr>
              <w:t xml:space="preserve">תרופה או קבוצה</w:t>
            </w:r>
          </w:p>
        </w:tc>
        <w:tc>
          <w:tcPr>
            <w:tcW w:type="dxa" w:w="2300"/>
            <w:tcBorders>
              <w:top w:val="single" w:color="A6A6A6" w:sz="4"/>
              <w:left w:val="single" w:color="A6A6A6" w:sz="4"/>
              <w:bottom w:val="single" w:color="A6A6A6" w:sz="4"/>
              <w:right w:val="single" w:color="A6A6A6" w:sz="4"/>
            </w:tcBorders>
            <w:shd w:fill="1F3864" w:color="auto" w:val="clear"/>
            <w:tcMar>
              <w:top w:type="dxa" w:w="50"/>
              <w:left w:type="dxa" w:w="80"/>
              <w:bottom w:type="dxa" w:w="50"/>
              <w:right w:type="dxa" w:w="80"/>
            </w:tcMar>
          </w:tcPr>
          <w:p>
            <w:pPr>
              <w:bidi/>
              <w:spacing w:after="20"/>
              <w:jc w:val="center"/>
            </w:pPr>
            <w:r>
              <w:rPr>
                <w:rFonts w:ascii="Arial" w:cs="Arial" w:eastAsia="Arial" w:hAnsi="Arial"/>
                <w:b/>
                <w:bCs/>
                <w:color w:val="FFFFFF"/>
                <w:sz w:val="17"/>
                <w:szCs w:val="17"/>
                <w:rtl/>
                <w:lang w:val="he-IL" w:bidi="he-IL"/>
              </w:rPr>
              <w:t xml:space="preserve">מינון מקובל</w:t>
            </w:r>
          </w:p>
        </w:tc>
        <w:tc>
          <w:tcPr>
            <w:tcW w:type="dxa" w:w="3500"/>
            <w:tcBorders>
              <w:top w:val="single" w:color="A6A6A6" w:sz="4"/>
              <w:left w:val="single" w:color="A6A6A6" w:sz="4"/>
              <w:bottom w:val="single" w:color="A6A6A6" w:sz="4"/>
              <w:right w:val="single" w:color="A6A6A6" w:sz="4"/>
            </w:tcBorders>
            <w:shd w:fill="1F3864" w:color="auto" w:val="clear"/>
            <w:tcMar>
              <w:top w:type="dxa" w:w="50"/>
              <w:left w:type="dxa" w:w="80"/>
              <w:bottom w:type="dxa" w:w="50"/>
              <w:right w:type="dxa" w:w="80"/>
            </w:tcMar>
          </w:tcPr>
          <w:p>
            <w:pPr>
              <w:bidi/>
              <w:spacing w:after="20"/>
              <w:jc w:val="center"/>
            </w:pPr>
            <w:r>
              <w:rPr>
                <w:rFonts w:ascii="Arial" w:cs="Arial" w:eastAsia="Arial" w:hAnsi="Arial"/>
                <w:b/>
                <w:bCs/>
                <w:color w:val="FFFFFF"/>
                <w:sz w:val="17"/>
                <w:szCs w:val="17"/>
                <w:rtl/>
                <w:lang w:val="he-IL" w:bidi="he-IL"/>
              </w:rPr>
              <w:t xml:space="preserve">בירור לפני התחלה (מומלץ לשקול)</w:t>
            </w:r>
          </w:p>
        </w:tc>
        <w:tc>
          <w:tcPr>
            <w:tcW w:type="dxa" w:w="4200"/>
            <w:tcBorders>
              <w:top w:val="single" w:color="A6A6A6" w:sz="4"/>
              <w:left w:val="single" w:color="A6A6A6" w:sz="4"/>
              <w:bottom w:val="single" w:color="A6A6A6" w:sz="4"/>
              <w:right w:val="single" w:color="A6A6A6" w:sz="4"/>
            </w:tcBorders>
            <w:shd w:fill="1F3864" w:color="auto" w:val="clear"/>
            <w:tcMar>
              <w:top w:type="dxa" w:w="50"/>
              <w:left w:type="dxa" w:w="80"/>
              <w:bottom w:type="dxa" w:w="50"/>
              <w:right w:type="dxa" w:w="80"/>
            </w:tcMar>
          </w:tcPr>
          <w:p>
            <w:pPr>
              <w:bidi/>
              <w:spacing w:after="20"/>
              <w:jc w:val="center"/>
            </w:pPr>
            <w:r>
              <w:rPr>
                <w:rFonts w:ascii="Arial" w:cs="Arial" w:eastAsia="Arial" w:hAnsi="Arial"/>
                <w:b/>
                <w:bCs/>
                <w:color w:val="FFFFFF"/>
                <w:sz w:val="17"/>
                <w:szCs w:val="17"/>
                <w:rtl/>
                <w:lang w:val="he-IL" w:bidi="he-IL"/>
              </w:rPr>
              <w:t xml:space="preserve">מעקב בזמן טיפול (מומלץ לשקול)</w:t>
            </w:r>
          </w:p>
        </w:tc>
        <w:tc>
          <w:tcPr>
            <w:tcW w:type="dxa" w:w="3198"/>
            <w:tcBorders>
              <w:top w:val="single" w:color="A6A6A6" w:sz="4"/>
              <w:left w:val="single" w:color="A6A6A6" w:sz="4"/>
              <w:bottom w:val="single" w:color="A6A6A6" w:sz="4"/>
              <w:right w:val="single" w:color="A6A6A6" w:sz="4"/>
            </w:tcBorders>
            <w:shd w:fill="1F3864" w:color="auto" w:val="clear"/>
            <w:tcMar>
              <w:top w:type="dxa" w:w="50"/>
              <w:left w:type="dxa" w:w="80"/>
              <w:bottom w:type="dxa" w:w="50"/>
              <w:right w:type="dxa" w:w="80"/>
            </w:tcMar>
          </w:tcPr>
          <w:p>
            <w:pPr>
              <w:bidi/>
              <w:spacing w:after="20"/>
              <w:jc w:val="center"/>
            </w:pPr>
            <w:r>
              <w:rPr>
                <w:rFonts w:ascii="Arial" w:cs="Arial" w:eastAsia="Arial" w:hAnsi="Arial"/>
                <w:b/>
                <w:bCs/>
                <w:color w:val="FFFFFF"/>
                <w:sz w:val="17"/>
                <w:szCs w:val="17"/>
                <w:rtl/>
                <w:lang w:val="he-IL" w:bidi="he-IL"/>
              </w:rPr>
              <w:t xml:space="preserve">מקור והערות</w:t>
            </w:r>
          </w:p>
        </w:tc>
      </w:tr>
      <w:tr>
        <w:trPr>
          <w:cantSplit/>
        </w:trPr>
        <w:tc>
          <w:tcPr>
            <w:tcW w:type="dxa" w:w="15398"/>
            <w:gridSpan w:val="5"/>
            <w:tcBorders>
              <w:top w:val="single" w:color="A6A6A6" w:sz="4"/>
              <w:left w:val="single" w:color="A6A6A6" w:sz="4"/>
              <w:bottom w:val="single" w:color="A6A6A6" w:sz="4"/>
              <w:right w:val="single" w:color="A6A6A6" w:sz="4"/>
            </w:tcBorders>
            <w:shd w:fill="D9E2F3" w:color="auto" w:val="clear"/>
            <w:tcMar>
              <w:top w:type="dxa" w:w="50"/>
              <w:left w:type="dxa" w:w="80"/>
              <w:bottom w:type="dxa" w:w="50"/>
              <w:right w:type="dxa" w:w="80"/>
            </w:tcMar>
          </w:tcPr>
          <w:p>
            <w:pPr>
              <w:bidi/>
              <w:spacing w:after="20"/>
              <w:jc w:val="right"/>
            </w:pPr>
            <w:r>
              <w:rPr>
                <w:rFonts w:ascii="Arial" w:cs="Arial" w:eastAsia="Arial" w:hAnsi="Arial"/>
                <w:b/>
                <w:bCs/>
                <w:sz w:val="19"/>
                <w:szCs w:val="19"/>
                <w:rtl/>
                <w:lang w:val="he-IL" w:bidi="he-IL"/>
              </w:rPr>
              <w:t xml:space="preserve">דיכוי חיסוני – סרקואידוזיס ו-ILD</w:t>
            </w:r>
          </w:p>
        </w:tc>
      </w:tr>
      <w:tr>
        <w:trPr>
          <w:cantSplit/>
        </w:trPr>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Prednisone / Prednisolone</w:t>
            </w:r>
          </w:p>
        </w:tc>
        <w:tc>
          <w:tcPr>
            <w:tcW w:type="dxa" w:w="2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התחלה 20 מ"ג ליום; אחזקה 5–10 מ"ג ליום או ימים לסירוגין</w:t>
            </w:r>
          </w:p>
        </w:tc>
        <w:tc>
          <w:tcPr>
            <w:tcW w:type="dxa" w:w="35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לחץ דם, גלוקוז או HbA1c, צפיפות עצם</w:t>
            </w:r>
          </w:p>
        </w:tc>
        <w:tc>
          <w:tcPr>
            <w:tcW w:type="dxa" w:w="4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לחץ דם, סוכר, צפיפות עצם. לשקול סידן, ויטמין D ופרופילקסיה ל-PJP במינון גבוה לאורך זמן</w:t>
            </w:r>
          </w:p>
        </w:tc>
        <w:tc>
          <w:tcPr>
            <w:tcW w:type="dxa" w:w="31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ERS 2021 (מינון, לחץ דם, סוכר, צפיפות עצם); שאר הפרטים לפי עלוני התכשירים ופרקטיקה מקובלת</w:t>
            </w:r>
          </w:p>
        </w:tc>
      </w:tr>
      <w:tr>
        <w:trPr>
          <w:cantSplit/>
        </w:trPr>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Methotrexate</w:t>
            </w:r>
          </w:p>
        </w:tc>
        <w:tc>
          <w:tcPr>
            <w:tcW w:type="dxa" w:w="2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10–15 מ"ג פעם בשבוע</w:t>
            </w:r>
          </w:p>
        </w:tc>
        <w:tc>
          <w:tcPr>
            <w:tcW w:type="dxa" w:w="35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ספירת דם, תפקודי כבד וכליה; לשקול סרולוגיה ל-HBV ו-HCV וצילום חזה</w:t>
            </w:r>
          </w:p>
        </w:tc>
        <w:tc>
          <w:tcPr>
            <w:tcW w:type="dxa" w:w="4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ספירת דם, תפקודי כבד וכליה (תדירות לפי פרוטוקול מקומי); חומצה פולית; מניעת הריון. טיטרציה: התחלה 7.5–10 מ"ג בשבוע, העלאה ב-2.5 מ"ג כל 2–4 שבועות לפי סבילות ובדיקות דם, עד 15–25 מ"ג בשבוע, עם חומצה פולית</w:t>
            </w:r>
          </w:p>
        </w:tc>
        <w:tc>
          <w:tcPr>
            <w:tcW w:type="dxa" w:w="31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ERS 2021; שאר הפרטים לפי עלוני התכשירים ופרקטיקה מקובלת</w:t>
            </w:r>
          </w:p>
        </w:tc>
      </w:tr>
      <w:tr>
        <w:trPr>
          <w:cantSplit/>
        </w:trPr>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Azathioprine</w:t>
            </w:r>
          </w:p>
        </w:tc>
        <w:tc>
          <w:tcPr>
            <w:tcW w:type="dxa" w:w="2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50–250 מ"ג ליום</w:t>
            </w:r>
          </w:p>
        </w:tc>
        <w:tc>
          <w:tcPr>
            <w:tcW w:type="dxa" w:w="35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ספירת דם; לשקול בדיקת TPMT או NUDT15</w:t>
            </w:r>
          </w:p>
        </w:tc>
        <w:tc>
          <w:tcPr>
            <w:tcW w:type="dxa" w:w="4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ספירת דם; לרוב גם תפקודי כבד. טיטרציה: התחלה 50 מ"ג ליום, העלאה ב-25–50 מ"ג כל 1–2 שבועות עד 1–2 מ"ג/ק"ג ליום (לפי TPMT/NUDT15 וספירת דם)</w:t>
            </w:r>
          </w:p>
        </w:tc>
        <w:tc>
          <w:tcPr>
            <w:tcW w:type="dxa" w:w="31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ERS 2021 (ספירת דם); שאר הפרטים לפי עלוני התכשירים ופרקטיקה מקובלת</w:t>
            </w:r>
          </w:p>
        </w:tc>
      </w:tr>
      <w:tr>
        <w:trPr>
          <w:cantSplit/>
        </w:trPr>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Mycophenolate mofetil</w:t>
            </w:r>
          </w:p>
        </w:tc>
        <w:tc>
          <w:tcPr>
            <w:tcW w:type="dxa" w:w="2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500–1500 מ"ג פעמיים ביום</w:t>
            </w:r>
          </w:p>
        </w:tc>
        <w:tc>
          <w:tcPr>
            <w:tcW w:type="dxa" w:w="35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ספירת דם; הדרכה על מניעת הריון (תרופה טרטוגנית)</w:t>
            </w:r>
          </w:p>
        </w:tc>
        <w:tc>
          <w:tcPr>
            <w:tcW w:type="dxa" w:w="4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ספירת דם; לרוב גם כבד וכליה. טיטרציה: 500 מ"ג ×2 ליום, העלאה לאחר 2–4 שבועות ל-1,000 מ"ג ×2 (עד 1,500 מ"ג ×2) לפי סבילות</w:t>
            </w:r>
          </w:p>
        </w:tc>
        <w:tc>
          <w:tcPr>
            <w:tcW w:type="dxa" w:w="31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ERS 2021 (ספירת דם); שאר הפרטים לפי עלוני התכשירים ופרקטיקה מקובלת</w:t>
            </w:r>
          </w:p>
        </w:tc>
      </w:tr>
      <w:tr>
        <w:trPr>
          <w:cantSplit/>
        </w:trPr>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Leflunomide</w:t>
            </w:r>
          </w:p>
        </w:tc>
        <w:tc>
          <w:tcPr>
            <w:tcW w:type="dxa" w:w="2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10–20 מ"ג ליום</w:t>
            </w:r>
          </w:p>
        </w:tc>
        <w:tc>
          <w:tcPr>
            <w:tcW w:type="dxa" w:w="35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ספירת דם, תפקודי כבד וכליה, לחץ דם</w:t>
            </w:r>
          </w:p>
        </w:tc>
        <w:tc>
          <w:tcPr>
            <w:tcW w:type="dxa" w:w="4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ספירת דם, תפקודי כבד וכליה, לחץ דם</w:t>
            </w:r>
          </w:p>
        </w:tc>
        <w:tc>
          <w:tcPr>
            <w:tcW w:type="dxa" w:w="31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ERS 2021</w:t>
            </w:r>
          </w:p>
        </w:tc>
      </w:tr>
      <w:tr>
        <w:trPr>
          <w:cantSplit/>
        </w:trPr>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Hydroxychloroquine</w:t>
            </w:r>
          </w:p>
        </w:tc>
        <w:tc>
          <w:tcPr>
            <w:tcW w:type="dxa" w:w="2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200–400 מ"ג ליום</w:t>
            </w:r>
          </w:p>
        </w:tc>
        <w:tc>
          <w:tcPr>
            <w:tcW w:type="dxa" w:w="35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בדיקת עיניים בסיסית</w:t>
            </w:r>
          </w:p>
        </w:tc>
        <w:tc>
          <w:tcPr>
            <w:tcW w:type="dxa" w:w="4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בדיקות עיניים תקופתיות</w:t>
            </w:r>
          </w:p>
        </w:tc>
        <w:tc>
          <w:tcPr>
            <w:tcW w:type="dxa" w:w="31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ERS 2021</w:t>
            </w:r>
          </w:p>
        </w:tc>
      </w:tr>
      <w:tr>
        <w:trPr>
          <w:cantSplit/>
        </w:trPr>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Infliximab / Adalimumab</w:t>
            </w:r>
          </w:p>
        </w:tc>
        <w:tc>
          <w:tcPr>
            <w:tcW w:type="dxa" w:w="2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Infliximab 3–5 מ"ג/ק"ג בשבועות 0 ו-2, ואז כל 4–6 שבועות; Adalimumab 40 מ"ג כל 1–2 שבועות</w:t>
            </w:r>
          </w:p>
        </w:tc>
        <w:tc>
          <w:tcPr>
            <w:tcW w:type="dxa" w:w="35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סקר שחפת (IGRA או צילום חזה), הפטיטיס B ו-C. לבדוק נוגדי התוויה: אי-ספיקת לב קשה, ממאירות בעבר, מחלה דמיאלינית, זיהום פעיל</w:t>
            </w:r>
          </w:p>
        </w:tc>
        <w:tc>
          <w:tcPr>
            <w:tcW w:type="dxa" w:w="4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תגובות אלרגיות בעירוי; מעקב אחר זיהומים</w:t>
            </w:r>
          </w:p>
        </w:tc>
        <w:tc>
          <w:tcPr>
            <w:tcW w:type="dxa" w:w="31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ERS 2021</w:t>
            </w:r>
          </w:p>
        </w:tc>
      </w:tr>
      <w:tr>
        <w:trPr>
          <w:cantSplit/>
        </w:trPr>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Rituximab</w:t>
            </w:r>
          </w:p>
        </w:tc>
        <w:tc>
          <w:tcPr>
            <w:tcW w:type="dxa" w:w="2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500–1000 מ"ג כל 1–6 חודשים</w:t>
            </w:r>
          </w:p>
        </w:tc>
        <w:tc>
          <w:tcPr>
            <w:tcW w:type="dxa" w:w="35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סקר הפטיטיס B (HBsAg, anti-HBc) ו-C; רמת IgG בסיסית; חיסונים לפני הטיפול</w:t>
            </w:r>
          </w:p>
        </w:tc>
        <w:tc>
          <w:tcPr>
            <w:tcW w:type="dxa" w:w="4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רמת IgG בטיפול ממושך; מעקב זיהומים; לשקול פרופילקסיה ל-PJP</w:t>
            </w:r>
          </w:p>
        </w:tc>
        <w:tc>
          <w:tcPr>
            <w:tcW w:type="dxa" w:w="31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ERS 2021 (הפטיטיס, IgG); שאר הפרטים לפי עלוני התכשירים ופרקטיקה מקובלת</w:t>
            </w:r>
          </w:p>
        </w:tc>
      </w:tr>
      <w:tr>
        <w:trPr>
          <w:cantSplit/>
        </w:trPr>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Azithromycin מניעתי (COPD, ברונכיאקטזיס)</w:t>
            </w:r>
          </w:p>
        </w:tc>
        <w:tc>
          <w:tcPr>
            <w:tcW w:type="dxa" w:w="2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250 מ"ג שלוש פעמים בשבוע או 250 מ"ג ליום; חלופה: 500 מ"ג שלוש פעמים בשבוע</w:t>
            </w:r>
          </w:p>
        </w:tc>
        <w:tc>
          <w:tcPr>
            <w:tcW w:type="dxa" w:w="35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אק"ג (QTc), בדיקת שמיעה, תפקודי כבד; ספוטום לשלילת NTM</w:t>
            </w:r>
          </w:p>
        </w:tc>
        <w:tc>
          <w:tcPr>
            <w:tcW w:type="dxa" w:w="4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אק"ג חוזר, בדיקת שמיעה אם יש תסמינים, תפקודי כבד; להימנע מצירוף תרופות מאריכות QT</w:t>
            </w:r>
          </w:p>
        </w:tc>
        <w:tc>
          <w:tcPr>
            <w:tcW w:type="dxa" w:w="31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פרקטיקה מקובלת</w:t>
            </w:r>
          </w:p>
        </w:tc>
      </w:tr>
      <w:tr>
        <w:trPr>
          <w:cantSplit/>
        </w:trPr>
        <w:tc>
          <w:tcPr>
            <w:tcW w:type="dxa" w:w="15398"/>
            <w:gridSpan w:val="5"/>
            <w:tcBorders>
              <w:top w:val="single" w:color="A6A6A6" w:sz="4"/>
              <w:left w:val="single" w:color="A6A6A6" w:sz="4"/>
              <w:bottom w:val="single" w:color="A6A6A6" w:sz="4"/>
              <w:right w:val="single" w:color="A6A6A6" w:sz="4"/>
            </w:tcBorders>
            <w:shd w:fill="D9E2F3" w:color="auto" w:val="clear"/>
            <w:tcMar>
              <w:top w:type="dxa" w:w="50"/>
              <w:left w:type="dxa" w:w="80"/>
              <w:bottom w:type="dxa" w:w="50"/>
              <w:right w:type="dxa" w:w="80"/>
            </w:tcMar>
          </w:tcPr>
          <w:p>
            <w:pPr>
              <w:bidi/>
              <w:spacing w:after="20"/>
              <w:jc w:val="right"/>
            </w:pPr>
            <w:r>
              <w:rPr>
                <w:rFonts w:ascii="Arial" w:cs="Arial" w:eastAsia="Arial" w:hAnsi="Arial"/>
                <w:b/>
                <w:bCs/>
                <w:sz w:val="19"/>
                <w:szCs w:val="19"/>
                <w:rtl/>
                <w:lang w:val="he-IL" w:bidi="he-IL"/>
              </w:rPr>
              <w:t xml:space="preserve">תרופות ריאה נוספות</w:t>
            </w:r>
          </w:p>
        </w:tc>
      </w:tr>
      <w:tr>
        <w:trPr>
          <w:cantSplit/>
        </w:trPr>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Nintedanib</w:t>
            </w:r>
          </w:p>
        </w:tc>
        <w:tc>
          <w:tcPr>
            <w:tcW w:type="dxa" w:w="2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150 מ"ג פעמיים ביום</w:t>
            </w:r>
          </w:p>
        </w:tc>
        <w:tc>
          <w:tcPr>
            <w:tcW w:type="dxa" w:w="35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תפקודי כבד; בירור הריון; סיכון דימום</w:t>
            </w:r>
          </w:p>
        </w:tc>
        <w:tc>
          <w:tcPr>
            <w:tcW w:type="dxa" w:w="4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תפקודי כבד (תכוף בשלושת החודשים הראשונים, אחר כך כל כמה חודשים); שלשול; משקל</w:t>
            </w:r>
          </w:p>
        </w:tc>
        <w:tc>
          <w:tcPr>
            <w:tcW w:type="dxa" w:w="31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עלון התכשיר</w:t>
            </w:r>
          </w:p>
        </w:tc>
      </w:tr>
      <w:tr>
        <w:trPr>
          <w:cantSplit/>
        </w:trPr>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Pirfenidone</w:t>
            </w:r>
          </w:p>
        </w:tc>
        <w:tc>
          <w:tcPr>
            <w:tcW w:type="dxa" w:w="2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801 מ"ג שלוש פעמים ביום</w:t>
            </w:r>
          </w:p>
        </w:tc>
        <w:tc>
          <w:tcPr>
            <w:tcW w:type="dxa" w:w="35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תפקודי כבד; הדרכה על הגנה מהשמש</w:t>
            </w:r>
          </w:p>
        </w:tc>
        <w:tc>
          <w:tcPr>
            <w:tcW w:type="dxa" w:w="4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תפקודי כבד (תכוף בחצי השנה הראשונה); רגישות לאור; בחילה; משקל. טיטרציה: 267 מ"ג ×3 ביום בימים 1–7; 534 מ"ג ×3 ביום בימים 8–14; מיום 15: 801 מ"ג ×3 ביום, עם אוכל</w:t>
            </w:r>
          </w:p>
        </w:tc>
        <w:tc>
          <w:tcPr>
            <w:tcW w:type="dxa" w:w="31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עלון התכשיר</w:t>
            </w:r>
          </w:p>
        </w:tc>
      </w:tr>
      <w:tr>
        <w:trPr>
          <w:cantSplit/>
        </w:trPr>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Roflumilast</w:t>
            </w:r>
          </w:p>
        </w:tc>
        <w:tc>
          <w:tcPr>
            <w:tcW w:type="dxa" w:w="2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500 מק"ג ליום</w:t>
            </w:r>
          </w:p>
        </w:tc>
        <w:tc>
          <w:tcPr>
            <w:tcW w:type="dxa" w:w="35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מצב רוח והיסטוריית דיכאון; משקל</w:t>
            </w:r>
          </w:p>
        </w:tc>
        <w:tc>
          <w:tcPr>
            <w:tcW w:type="dxa" w:w="4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משקל, מצב רוח ותסמינים נפשיים, שלשול. טיטרציה: 250 מק"ג ליום ב-4 השבועות הראשונים, ואז 500 מק"ג ליום</w:t>
            </w:r>
          </w:p>
        </w:tc>
        <w:tc>
          <w:tcPr>
            <w:tcW w:type="dxa" w:w="31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עלון התכשיר</w:t>
            </w:r>
          </w:p>
        </w:tc>
      </w:tr>
      <w:tr>
        <w:trPr>
          <w:cantSplit/>
        </w:trPr>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Theophylline</w:t>
            </w:r>
          </w:p>
        </w:tc>
        <w:tc>
          <w:tcPr>
            <w:tcW w:type="dxa" w:w="2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200–400 מ"ג פעמיים ביום</w:t>
            </w:r>
          </w:p>
        </w:tc>
        <w:tc>
          <w:tcPr>
            <w:tcW w:type="dxa" w:w="35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
            </w:r>
          </w:p>
        </w:tc>
        <w:tc>
          <w:tcPr>
            <w:tcW w:type="dxa" w:w="4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רמת תרופה בדם; אינטראקציות (מקרולידים, קווינולונים)</w:t>
            </w:r>
          </w:p>
        </w:tc>
        <w:tc>
          <w:tcPr>
            <w:tcW w:type="dxa" w:w="31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פרקטיקה מקובלת</w:t>
            </w:r>
          </w:p>
        </w:tc>
      </w:tr>
      <w:tr>
        <w:trPr>
          <w:cantSplit/>
        </w:trPr>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Montelukast</w:t>
            </w:r>
          </w:p>
        </w:tc>
        <w:tc>
          <w:tcPr>
            <w:tcW w:type="dxa" w:w="2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10 מ"ג בערב</w:t>
            </w:r>
          </w:p>
        </w:tc>
        <w:tc>
          <w:tcPr>
            <w:tcW w:type="dxa" w:w="35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
            </w:r>
          </w:p>
        </w:tc>
        <w:tc>
          <w:tcPr>
            <w:tcW w:type="dxa" w:w="4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שינויי מצב רוח והתנהגות (אזהרה נוירופסיכיאטרית)</w:t>
            </w:r>
          </w:p>
        </w:tc>
        <w:tc>
          <w:tcPr>
            <w:tcW w:type="dxa" w:w="31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עלון התכשיר</w:t>
            </w:r>
          </w:p>
        </w:tc>
      </w:tr>
      <w:tr>
        <w:trPr>
          <w:cantSplit/>
        </w:trPr>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ICS במינון גבוה</w:t>
            </w:r>
          </w:p>
        </w:tc>
        <w:tc>
          <w:tcPr>
            <w:tcW w:type="dxa" w:w="2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
            </w:r>
          </w:p>
        </w:tc>
        <w:tc>
          <w:tcPr>
            <w:tcW w:type="dxa" w:w="35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
            </w:r>
          </w:p>
        </w:tc>
        <w:tc>
          <w:tcPr>
            <w:tcW w:type="dxa" w:w="4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קנדידיאזיס בפה (שטיפת פה); לשקול צפיפות עצם ובדיקת עיניים לפי הצורך</w:t>
            </w:r>
          </w:p>
        </w:tc>
        <w:tc>
          <w:tcPr>
            <w:tcW w:type="dxa" w:w="31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פרקטיקה מקובלת</w:t>
            </w:r>
          </w:p>
        </w:tc>
      </w:tr>
      <w:tr>
        <w:trPr>
          <w:cantSplit/>
        </w:trPr>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ביולוגיים לאסתמה</w:t>
            </w:r>
          </w:p>
        </w:tc>
        <w:tc>
          <w:tcPr>
            <w:tcW w:type="dxa" w:w="2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לפי סעיף ה</w:t>
            </w:r>
          </w:p>
        </w:tc>
        <w:tc>
          <w:tcPr>
            <w:tcW w:type="dxa" w:w="35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אאוזינופילים; IgE (ל-Xolair); לשקול בירור טפילים לפי הקשר</w:t>
            </w:r>
          </w:p>
        </w:tc>
        <w:tc>
          <w:tcPr>
            <w:tcW w:type="dxa" w:w="4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תגובה קלינית אחרי 4–6 חודשים בערך. Xolair: השגחה לאחר מתן וחשש לאנפילקסיס. Dupixent: אאוזינופיליה ודלקת לחמית. לשקול חיסון זוסטר (נספח ג)</w:t>
            </w:r>
          </w:p>
        </w:tc>
        <w:tc>
          <w:tcPr>
            <w:tcW w:type="dxa" w:w="31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עלוני התכשירים ופרקטיקה מקובלת</w:t>
            </w:r>
          </w:p>
        </w:tc>
      </w:tr>
      <w:tr>
        <w:trPr>
          <w:cantSplit/>
        </w:trPr>
        <w:tc>
          <w:tcPr>
            <w:tcW w:type="dxa" w:w="15398"/>
            <w:gridSpan w:val="5"/>
            <w:tcBorders>
              <w:top w:val="single" w:color="A6A6A6" w:sz="4"/>
              <w:left w:val="single" w:color="A6A6A6" w:sz="4"/>
              <w:bottom w:val="single" w:color="A6A6A6" w:sz="4"/>
              <w:right w:val="single" w:color="A6A6A6" w:sz="4"/>
            </w:tcBorders>
            <w:shd w:fill="D9E2F3" w:color="auto" w:val="clear"/>
            <w:tcMar>
              <w:top w:type="dxa" w:w="50"/>
              <w:left w:type="dxa" w:w="80"/>
              <w:bottom w:type="dxa" w:w="50"/>
              <w:right w:type="dxa" w:w="80"/>
            </w:tcMar>
          </w:tcPr>
          <w:p>
            <w:pPr>
              <w:bidi/>
              <w:spacing w:after="20"/>
              <w:jc w:val="right"/>
            </w:pPr>
            <w:r>
              <w:rPr>
                <w:rFonts w:ascii="Arial" w:cs="Arial" w:eastAsia="Arial" w:hAnsi="Arial"/>
                <w:b/>
                <w:bCs/>
                <w:sz w:val="19"/>
                <w:szCs w:val="19"/>
                <w:rtl/>
                <w:lang w:val="he-IL" w:bidi="he-IL"/>
              </w:rPr>
              <w:t xml:space="preserve">יתר לחץ דם ריאתי</w:t>
            </w:r>
          </w:p>
        </w:tc>
      </w:tr>
      <w:tr>
        <w:trPr>
          <w:cantSplit/>
        </w:trPr>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Bosentan, Ambrisentan, Macitentan</w:t>
            </w:r>
          </w:p>
        </w:tc>
        <w:tc>
          <w:tcPr>
            <w:tcW w:type="dxa" w:w="2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לפי סעיף ח</w:t>
            </w:r>
          </w:p>
        </w:tc>
        <w:tc>
          <w:tcPr>
            <w:tcW w:type="dxa" w:w="35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בדיקת הריון (תרופות טרטוגניות), תפקודי כבד, המוגלובין</w:t>
            </w:r>
          </w:p>
        </w:tc>
        <w:tc>
          <w:tcPr>
            <w:tcW w:type="dxa" w:w="4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Bosentan: תפקודי כבד חודשיים; המוגלובין; בדיקות הריון חוזרות; בצקות (בעיקר Ambrisentan). טיטרציה: Bosentan 62.5 מ"ג ×2 ליום למשך 4 שבועות ואז 125 מ"ג ×2; Ambrisentan 5 מ"ג ליום, אפשר להעלות ל-10 מ"ג; Macitentan 10 מ"ג ליום ללא טיטרציה</w:t>
            </w:r>
          </w:p>
        </w:tc>
        <w:tc>
          <w:tcPr>
            <w:tcW w:type="dxa" w:w="31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עלוני התכשירים</w:t>
            </w:r>
          </w:p>
        </w:tc>
      </w:tr>
      <w:tr>
        <w:trPr>
          <w:cantSplit/>
        </w:trPr>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Sildenafil, Tadalafil, Riociguat</w:t>
            </w:r>
          </w:p>
        </w:tc>
        <w:tc>
          <w:tcPr>
            <w:tcW w:type="dxa" w:w="2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לפי סעיף ח</w:t>
            </w:r>
          </w:p>
        </w:tc>
        <w:tc>
          <w:tcPr>
            <w:tcW w:type="dxa" w:w="35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לחץ דם; נוגדי התוויה: ניטרטים; Riociguat אינו משולב עם מעכבי PDE5; הריון (Riociguat)</w:t>
            </w:r>
          </w:p>
        </w:tc>
        <w:tc>
          <w:tcPr>
            <w:tcW w:type="dxa" w:w="4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לחץ דם; ירידה פתאומית בראייה או בשמיעה מחייבת בירור. טיטרציה: Sildenafil 20 מ"ג ×3 ללא טיטרציה; Tadalafil 20 מ"ג ליום, העלאה ל-40 מ"ג לפי סבילות; Riociguat 1 מ"ג ×3 (0.5 מ"ג ×3 אם יש סיכון להיפוטנסיה), העלאה ב-0.5 מ"ג ×3 כל שבועיים לפי לחץ דם סיסטולי, עד 2.5 מ"ג ×3</w:t>
            </w:r>
          </w:p>
        </w:tc>
        <w:tc>
          <w:tcPr>
            <w:tcW w:type="dxa" w:w="31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עלוני התכשירים</w:t>
            </w:r>
          </w:p>
        </w:tc>
      </w:tr>
      <w:tr>
        <w:trPr>
          <w:cantSplit/>
        </w:trPr>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Selexipag (Uptravi)</w:t>
            </w:r>
          </w:p>
        </w:tc>
        <w:tc>
          <w:tcPr>
            <w:tcW w:type="dxa" w:w="2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200 מק"ג ×2 ליום, עד 1600 מק"ג ×2</w:t>
            </w:r>
          </w:p>
        </w:tc>
        <w:tc>
          <w:tcPr>
            <w:tcW w:type="dxa" w:w="35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תפקודי בלוטת התריס (TSH); להימנע משילוב עם מעכב CYP2C8 חזק (Gemfibrozil)</w:t>
            </w:r>
          </w:p>
        </w:tc>
        <w:tc>
          <w:tcPr>
            <w:tcW w:type="dxa" w:w="4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תופעות לוואי (כאב ראש, שלשול, בחילה, כאב לסת ושרירים); TSH לפי הצורך. טיטרציה: התחלה 200 מק"ג ×2; העלאה של 200 מק"ג ×2 בכל שבוע לפי סבילות עד מינון מרבי נסבל (עד 1600 מק"ג ×2); באי סבילות – חזרה למינון הקודם</w:t>
            </w:r>
          </w:p>
        </w:tc>
        <w:tc>
          <w:tcPr>
            <w:tcW w:type="dxa" w:w="31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עלון התכשיר</w:t>
            </w:r>
          </w:p>
        </w:tc>
      </w:tr>
      <w:tr>
        <w:trPr>
          <w:cantSplit/>
        </w:trPr>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Winrevair (Sotatercept)</w:t>
            </w:r>
          </w:p>
        </w:tc>
        <w:tc>
          <w:tcPr>
            <w:tcW w:type="dxa" w:w="2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0.3 מ"ג/ק"ג ואז 0.7 מ"ג/ק"ג כל 3 שבועות</w:t>
            </w:r>
          </w:p>
        </w:tc>
        <w:tc>
          <w:tcPr>
            <w:tcW w:type="dxa" w:w="35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המוגלובין וטסיות; הריון (אמצעי מניעה)</w:t>
            </w:r>
          </w:p>
        </w:tc>
        <w:tc>
          <w:tcPr>
            <w:tcW w:type="dxa" w:w="4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המוגלובין וטסיות לפני המנות הראשונות ובהמשך לפי הצורך; דימומים (אפיסטקסיס, טלנגיאקטזיות). טיטרציה: מנה ראשונה 0.3 מ"ג/ק"ג, ואחריה 0.7 מ"ג/ק"ג כל 3 שבועות</w:t>
            </w:r>
          </w:p>
        </w:tc>
        <w:tc>
          <w:tcPr>
            <w:tcW w:type="dxa" w:w="31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עלון התכשיר</w:t>
            </w:r>
          </w:p>
        </w:tc>
      </w:tr>
      <w:tr>
        <w:trPr>
          <w:cantSplit/>
        </w:trPr>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Tyvaso, Ventavis, Remodulin, Flolan (פרוסטציקלינים)</w:t>
            </w:r>
          </w:p>
        </w:tc>
        <w:tc>
          <w:tcPr>
            <w:tcW w:type="dxa" w:w="2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לפי סעיף ח</w:t>
            </w:r>
          </w:p>
        </w:tc>
        <w:tc>
          <w:tcPr>
            <w:tcW w:type="dxa" w:w="35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הערכה במרכז ליתר לחץ דם ריאתי; לחץ דם</w:t>
            </w:r>
          </w:p>
        </w:tc>
        <w:tc>
          <w:tcPr>
            <w:tcW w:type="dxa" w:w="4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לחץ דם; שיעול/גירוי בשאיפה; כאב באתר העירוי וזיהום קו (Remodulin, Flolan); לא להפסיק באופן פתאומי (חשש ל-rebound). טיטרציה: Tyvaso 3 שאיפות ×4 ליום, תוספת 3 שאיפות לכל טיפול כל 1–2 שבועות עד 9 שאיפות; Ventavis 2.5 מק"ג בשאיפה והעלאה ל-5 מק"ג לפי סבילות, 6–9 פעמים ביום; Remodulin 1.25 ננוגרם/ק"ג/דקה, העלאה שבועית לפי תגובה</w:t>
            </w:r>
          </w:p>
        </w:tc>
        <w:tc>
          <w:tcPr>
            <w:tcW w:type="dxa" w:w="31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עלוני התכשירים</w:t>
            </w:r>
          </w:p>
        </w:tc>
      </w:tr>
      <w:tr>
        <w:trPr>
          <w:cantSplit/>
        </w:trPr>
        <w:tc>
          <w:tcPr>
            <w:tcW w:type="dxa" w:w="15398"/>
            <w:gridSpan w:val="5"/>
            <w:tcBorders>
              <w:top w:val="single" w:color="A6A6A6" w:sz="4"/>
              <w:left w:val="single" w:color="A6A6A6" w:sz="4"/>
              <w:bottom w:val="single" w:color="A6A6A6" w:sz="4"/>
              <w:right w:val="single" w:color="A6A6A6" w:sz="4"/>
            </w:tcBorders>
            <w:shd w:fill="D9E2F3" w:color="auto" w:val="clear"/>
            <w:tcMar>
              <w:top w:type="dxa" w:w="50"/>
              <w:left w:type="dxa" w:w="80"/>
              <w:bottom w:type="dxa" w:w="50"/>
              <w:right w:type="dxa" w:w="80"/>
            </w:tcMar>
          </w:tcPr>
          <w:p>
            <w:pPr>
              <w:bidi/>
              <w:spacing w:after="20"/>
              <w:jc w:val="right"/>
            </w:pPr>
            <w:r>
              <w:rPr>
                <w:rFonts w:ascii="Arial" w:cs="Arial" w:eastAsia="Arial" w:hAnsi="Arial"/>
                <w:b/>
                <w:bCs/>
                <w:sz w:val="19"/>
                <w:szCs w:val="19"/>
                <w:rtl/>
                <w:lang w:val="he-IL" w:bidi="he-IL"/>
              </w:rPr>
              <w:t xml:space="preserve">גמילה מעישון</w:t>
            </w:r>
          </w:p>
        </w:tc>
      </w:tr>
      <w:tr>
        <w:trPr>
          <w:cantSplit/>
        </w:trPr>
        <w:tc>
          <w:tcPr>
            <w:tcW w:type="dxa" w:w="2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Varenicline, Bupropion</w:t>
            </w:r>
          </w:p>
        </w:tc>
        <w:tc>
          <w:tcPr>
            <w:tcW w:type="dxa" w:w="23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לפי נספח ב</w:t>
            </w:r>
          </w:p>
        </w:tc>
        <w:tc>
          <w:tcPr>
            <w:tcW w:type="dxa" w:w="35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Bupropion: היסטוריית פרכוסים, הפרעות אכילה, לחץ דם</w:t>
            </w:r>
          </w:p>
        </w:tc>
        <w:tc>
          <w:tcPr>
            <w:tcW w:type="dxa" w:w="42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מצב רוח, שינה, בחילה; Bupropion: לחץ דם</w:t>
            </w:r>
          </w:p>
        </w:tc>
        <w:tc>
          <w:tcPr>
            <w:tcW w:type="dxa" w:w="31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עלוני התכשירים</w:t>
            </w:r>
          </w:p>
        </w:tc>
      </w:tr>
    </w:tbl>
    <w:p>
      <w:pPr>
        <w:pStyle w:val="Heading2"/>
        <w:pageBreakBefore/>
        <w:bidi/>
        <w:spacing w:after="60"/>
        <w:jc w:val="right"/>
      </w:pPr>
      <w:r>
        <w:rPr>
          <w:rFonts w:ascii="Arial" w:cs="Arial" w:eastAsia="Arial" w:hAnsi="Arial"/>
          <w:b/>
          <w:bCs/>
          <w:sz w:val="26"/>
          <w:szCs w:val="26"/>
          <w:rtl/>
          <w:lang w:val="he-IL" w:bidi="he-IL"/>
        </w:rPr>
        <w:t xml:space="preserve">נוסח הסל המדויק לפי מאגר התרופות</w:t>
      </w:r>
    </w:p>
    <w:p>
      <w:pPr>
        <w:bidi/>
        <w:spacing w:after="20"/>
        <w:jc w:val="right"/>
      </w:pPr>
      <w:r>
        <w:rPr>
          <w:rFonts w:ascii="Arial" w:cs="Arial" w:eastAsia="Arial" w:hAnsi="Arial"/>
          <w:sz w:val="16"/>
          <w:szCs w:val="16"/>
          <w:rtl/>
          <w:lang w:val="he-IL" w:bidi="he-IL"/>
        </w:rPr>
        <w:t xml:space="preserve">הנוסח מצוטט ממאגר התרופות של משרד הבריאות (21.10.2026) וניתן להסתמך עליו ככלי עזר בלבד; יש לוודא מול המאגר לפני הגשת בקשה: https://registries.health.gov.il/Medicines . הנוסח הרשמי הוא העדכני במאגר.</w:t>
      </w:r>
    </w:p>
    <w:tbl>
      <w:tblPr>
        <w:bidiVisual/>
        <w:tblW w:type="dxa" w:w="14998"/>
        <w:tblBorders>
          <w:top w:val="single" w:color="auto" w:sz="4"/>
          <w:left w:val="single" w:color="auto" w:sz="4"/>
          <w:bottom w:val="single" w:color="auto" w:sz="4"/>
          <w:right w:val="single" w:color="auto" w:sz="4"/>
          <w:insideH w:val="single" w:color="auto" w:sz="4"/>
          <w:insideV w:val="single" w:color="auto" w:sz="4"/>
        </w:tblBorders>
      </w:tblPr>
      <w:tblGrid>
        <w:gridCol w:w="2600"/>
        <w:gridCol w:w="2400"/>
        <w:gridCol w:w="9998"/>
      </w:tblGrid>
      <w:tr>
        <w:trPr>
          <w:cantSplit/>
          <w:tblHeader/>
        </w:trPr>
        <w:tc>
          <w:tcPr>
            <w:tcW w:type="dxa" w:w="2600"/>
            <w:tcBorders>
              <w:top w:val="single" w:color="A6A6A6" w:sz="4"/>
              <w:left w:val="single" w:color="A6A6A6" w:sz="4"/>
              <w:bottom w:val="single" w:color="A6A6A6" w:sz="4"/>
              <w:right w:val="single" w:color="A6A6A6" w:sz="4"/>
            </w:tcBorders>
            <w:shd w:fill="1F3864" w:color="auto" w:val="clear"/>
            <w:tcMar>
              <w:top w:type="dxa" w:w="50"/>
              <w:left w:type="dxa" w:w="80"/>
              <w:bottom w:type="dxa" w:w="50"/>
              <w:right w:type="dxa" w:w="80"/>
            </w:tcMar>
          </w:tcPr>
          <w:p>
            <w:pPr>
              <w:bidi/>
              <w:spacing w:after="20"/>
              <w:jc w:val="center"/>
            </w:pPr>
            <w:r>
              <w:rPr>
                <w:rFonts w:ascii="Arial" w:cs="Arial" w:eastAsia="Arial" w:hAnsi="Arial"/>
                <w:b/>
                <w:bCs/>
                <w:color w:val="FFFFFF"/>
                <w:sz w:val="17"/>
                <w:szCs w:val="17"/>
                <w:rtl/>
                <w:lang w:val="he-IL" w:bidi="he-IL"/>
              </w:rPr>
              <w:t xml:space="preserve">תכשיר</w:t>
            </w:r>
          </w:p>
        </w:tc>
        <w:tc>
          <w:tcPr>
            <w:tcW w:type="dxa" w:w="2400"/>
            <w:tcBorders>
              <w:top w:val="single" w:color="A6A6A6" w:sz="4"/>
              <w:left w:val="single" w:color="A6A6A6" w:sz="4"/>
              <w:bottom w:val="single" w:color="A6A6A6" w:sz="4"/>
              <w:right w:val="single" w:color="A6A6A6" w:sz="4"/>
            </w:tcBorders>
            <w:shd w:fill="1F3864" w:color="auto" w:val="clear"/>
            <w:tcMar>
              <w:top w:type="dxa" w:w="50"/>
              <w:left w:type="dxa" w:w="80"/>
              <w:bottom w:type="dxa" w:w="50"/>
              <w:right w:type="dxa" w:w="80"/>
            </w:tcMar>
          </w:tcPr>
          <w:p>
            <w:pPr>
              <w:bidi/>
              <w:spacing w:after="20"/>
              <w:jc w:val="center"/>
            </w:pPr>
            <w:r>
              <w:rPr>
                <w:rFonts w:ascii="Arial" w:cs="Arial" w:eastAsia="Arial" w:hAnsi="Arial"/>
                <w:b/>
                <w:bCs/>
                <w:color w:val="FFFFFF"/>
                <w:sz w:val="17"/>
                <w:szCs w:val="17"/>
                <w:rtl/>
                <w:lang w:val="he-IL" w:bidi="he-IL"/>
              </w:rPr>
              <w:t xml:space="preserve">רישום ותאריך הכללה</w:t>
            </w:r>
          </w:p>
        </w:tc>
        <w:tc>
          <w:tcPr>
            <w:tcW w:type="dxa" w:w="9998"/>
            <w:tcBorders>
              <w:top w:val="single" w:color="A6A6A6" w:sz="4"/>
              <w:left w:val="single" w:color="A6A6A6" w:sz="4"/>
              <w:bottom w:val="single" w:color="A6A6A6" w:sz="4"/>
              <w:right w:val="single" w:color="A6A6A6" w:sz="4"/>
            </w:tcBorders>
            <w:shd w:fill="1F3864" w:color="auto" w:val="clear"/>
            <w:tcMar>
              <w:top w:type="dxa" w:w="50"/>
              <w:left w:type="dxa" w:w="80"/>
              <w:bottom w:type="dxa" w:w="50"/>
              <w:right w:type="dxa" w:w="80"/>
            </w:tcMar>
          </w:tcPr>
          <w:p>
            <w:pPr>
              <w:bidi/>
              <w:spacing w:after="20"/>
              <w:jc w:val="center"/>
            </w:pPr>
            <w:r>
              <w:rPr>
                <w:rFonts w:ascii="Arial" w:cs="Arial" w:eastAsia="Arial" w:hAnsi="Arial"/>
                <w:b/>
                <w:bCs/>
                <w:color w:val="FFFFFF"/>
                <w:sz w:val="17"/>
                <w:szCs w:val="17"/>
                <w:rtl/>
                <w:lang w:val="he-IL" w:bidi="he-IL"/>
              </w:rPr>
              <w:t xml:space="preserve">נוסח הסל כפי שמופיע במאגר</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Incruse Ellipta (Umeclidinium 55 mcg)</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INCRUSE ELLIPTA 55 MCG</w:t>
            </w:r>
          </w:p>
          <w:p>
            <w:pPr>
              <w:bidi/>
              <w:spacing w:after="20"/>
              <w:jc w:val="right"/>
            </w:pPr>
            <w:r>
              <w:rPr>
                <w:rFonts w:ascii="Arial" w:cs="Arial" w:eastAsia="Arial" w:hAnsi="Arial"/>
                <w:sz w:val="17"/>
                <w:szCs w:val="17"/>
                <w:rtl/>
                <w:lang w:val="he-IL" w:bidi="he-IL"/>
              </w:rPr>
              <w:t xml:space="preserve">רישום: 153 40 34134 00</w:t>
            </w:r>
          </w:p>
          <w:p>
            <w:pPr>
              <w:bidi/>
              <w:spacing w:after="20"/>
              <w:jc w:val="right"/>
            </w:pPr>
            <w:r>
              <w:rPr>
                <w:rFonts w:ascii="Arial" w:cs="Arial" w:eastAsia="Arial" w:hAnsi="Arial"/>
                <w:sz w:val="17"/>
                <w:szCs w:val="17"/>
                <w:rtl/>
                <w:lang w:val="he-IL" w:bidi="he-IL"/>
              </w:rPr>
              <w:t xml:space="preserve">הכללה בסל: 15.01.2015</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 התרופה האמורה תינתן לטיפול במחלת ריאות חסימתית כרונית (COPD – Chronic Obstructive Pulmonary Disease), לאחר אישור אבחנה ע"י בדיקת ספירומטריה.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התרופה לא תינתן בשילוב עם Indacaterol. סעיף זה לא יחול על חולים עם FEV1 שווה או נמוך מ-60%.</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Anoro Ellipta (Umeclidinium/Vilanterol 55/22 mcg)</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ANORO ELLIPTA 55/22 MCG</w:t>
            </w:r>
          </w:p>
          <w:p>
            <w:pPr>
              <w:bidi/>
              <w:spacing w:after="20"/>
              <w:jc w:val="right"/>
            </w:pPr>
            <w:r>
              <w:rPr>
                <w:rFonts w:ascii="Arial" w:cs="Arial" w:eastAsia="Arial" w:hAnsi="Arial"/>
                <w:sz w:val="17"/>
                <w:szCs w:val="17"/>
                <w:rtl/>
                <w:lang w:val="he-IL" w:bidi="he-IL"/>
              </w:rPr>
              <w:t xml:space="preserve">רישום: 153 37 34077 00</w:t>
            </w:r>
          </w:p>
          <w:p>
            <w:pPr>
              <w:bidi/>
              <w:spacing w:after="20"/>
              <w:jc w:val="right"/>
            </w:pPr>
            <w:r>
              <w:rPr>
                <w:rFonts w:ascii="Arial" w:cs="Arial" w:eastAsia="Arial" w:hAnsi="Arial"/>
                <w:sz w:val="17"/>
                <w:szCs w:val="17"/>
                <w:rtl/>
                <w:lang w:val="he-IL" w:bidi="he-IL"/>
              </w:rPr>
              <w:t xml:space="preserve">הכללה בסל: 21.01.2016</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התרופה האמורה תינתן לטיפול במחלת ריאות חסימתית כרונית (COPD – Chronic Obstructive Pulmonary Disease) לאחר אישור אבחנה ע"י בדיקת ספירומטריה.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Seebri Breezhaler (Glycopyrronium 50 mcg)</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SEEBRI BREEZHALER 50 MCG</w:t>
            </w:r>
          </w:p>
          <w:p>
            <w:pPr>
              <w:bidi/>
              <w:spacing w:after="20"/>
              <w:jc w:val="right"/>
            </w:pPr>
            <w:r>
              <w:rPr>
                <w:rFonts w:ascii="Arial" w:cs="Arial" w:eastAsia="Arial" w:hAnsi="Arial"/>
                <w:sz w:val="17"/>
                <w:szCs w:val="17"/>
                <w:rtl/>
                <w:lang w:val="he-IL" w:bidi="he-IL"/>
              </w:rPr>
              <w:t xml:space="preserve">(רישום מבוטל – נוסח היסטורי)</w:t>
            </w:r>
          </w:p>
          <w:p>
            <w:pPr>
              <w:bidi/>
              <w:spacing w:after="20"/>
              <w:jc w:val="right"/>
            </w:pPr>
            <w:r>
              <w:rPr>
                <w:rFonts w:ascii="Arial" w:cs="Arial" w:eastAsia="Arial" w:hAnsi="Arial"/>
                <w:sz w:val="17"/>
                <w:szCs w:val="17"/>
                <w:rtl/>
                <w:lang w:val="he-IL" w:bidi="he-IL"/>
              </w:rPr>
              <w:t xml:space="preserve">רישום: 149 18 33751 00</w:t>
            </w:r>
          </w:p>
          <w:p>
            <w:pPr>
              <w:bidi/>
              <w:spacing w:after="20"/>
              <w:jc w:val="right"/>
            </w:pPr>
            <w:r>
              <w:rPr>
                <w:rFonts w:ascii="Arial" w:cs="Arial" w:eastAsia="Arial" w:hAnsi="Arial"/>
                <w:sz w:val="17"/>
                <w:szCs w:val="17"/>
                <w:rtl/>
                <w:lang w:val="he-IL" w:bidi="he-IL"/>
              </w:rPr>
              <w:t xml:space="preserve">הכללה בסל: 09.01.2013</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 התרופה האמורה תינתן לטיפול במחלת ריאות חסימתית כרונית (COPD – Chronic Obstructive Pulmonary Disease) בחולים עם FEV1 שווה או נמוך מ-70% במצב כרוני;</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התרופה לא תינתן בשילוב עם Indacaterol. סעיף זה לא יחול על חולים עם FEV1 שווה או נמוך מ-60%.</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ג. תחילת הטיפול בתרופה תיעשה לפי מרשם של רופא מומחה ברפואת ריאות.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Seebri Breezhaler (Glycopyrronium 50 mcg)</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SEEBRI BREEZHALER 50 MCG</w:t>
            </w:r>
          </w:p>
          <w:p>
            <w:pPr>
              <w:bidi/>
              <w:spacing w:after="20"/>
              <w:jc w:val="right"/>
            </w:pPr>
            <w:r>
              <w:rPr>
                <w:rFonts w:ascii="Arial" w:cs="Arial" w:eastAsia="Arial" w:hAnsi="Arial"/>
                <w:sz w:val="17"/>
                <w:szCs w:val="17"/>
                <w:rtl/>
                <w:lang w:val="he-IL" w:bidi="he-IL"/>
              </w:rPr>
              <w:t xml:space="preserve">(רישום מבוטל – נוסח היסטורי)</w:t>
            </w:r>
          </w:p>
          <w:p>
            <w:pPr>
              <w:bidi/>
              <w:spacing w:after="20"/>
              <w:jc w:val="right"/>
            </w:pPr>
            <w:r>
              <w:rPr>
                <w:rFonts w:ascii="Arial" w:cs="Arial" w:eastAsia="Arial" w:hAnsi="Arial"/>
                <w:sz w:val="17"/>
                <w:szCs w:val="17"/>
                <w:rtl/>
                <w:lang w:val="he-IL" w:bidi="he-IL"/>
              </w:rPr>
              <w:t xml:space="preserve">רישום: 149 18 33751 01</w:t>
            </w:r>
          </w:p>
          <w:p>
            <w:pPr>
              <w:bidi/>
              <w:spacing w:after="20"/>
              <w:jc w:val="right"/>
            </w:pPr>
            <w:r>
              <w:rPr>
                <w:rFonts w:ascii="Arial" w:cs="Arial" w:eastAsia="Arial" w:hAnsi="Arial"/>
                <w:sz w:val="17"/>
                <w:szCs w:val="17"/>
                <w:rtl/>
                <w:lang w:val="he-IL" w:bidi="he-IL"/>
              </w:rPr>
              <w:t xml:space="preserve">הכללה בסל: 09.01.2013</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 התרופה האמורה תינתן לטיפול במחלת ריאות חסימתית כרונית (COPD – Chronic Obstructive Pulmonary Disease), לאחר אישור אבחנה ע"י בדיקת ספירומטריה.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התרופה לא תינתן בשילוב עם Indacaterol. סעיף זה לא יחול על חולים עם FEV1 שווה או נמוך מ-60%.</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Ultibro Breezhaler (Glycopyrronium/Indacaterol 50/110 mcg)</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ULTIBRO BREEZHALER 110/50 MCG</w:t>
            </w:r>
          </w:p>
          <w:p>
            <w:pPr>
              <w:bidi/>
              <w:spacing w:after="20"/>
              <w:jc w:val="right"/>
            </w:pPr>
            <w:r>
              <w:rPr>
                <w:rFonts w:ascii="Arial" w:cs="Arial" w:eastAsia="Arial" w:hAnsi="Arial"/>
                <w:sz w:val="17"/>
                <w:szCs w:val="17"/>
                <w:rtl/>
                <w:lang w:val="he-IL" w:bidi="he-IL"/>
              </w:rPr>
              <w:t xml:space="preserve">רישום: 151 39 33990 00</w:t>
            </w:r>
          </w:p>
          <w:p>
            <w:pPr>
              <w:bidi/>
              <w:spacing w:after="20"/>
              <w:jc w:val="right"/>
            </w:pPr>
            <w:r>
              <w:rPr>
                <w:rFonts w:ascii="Arial" w:cs="Arial" w:eastAsia="Arial" w:hAnsi="Arial"/>
                <w:sz w:val="17"/>
                <w:szCs w:val="17"/>
                <w:rtl/>
                <w:lang w:val="he-IL" w:bidi="he-IL"/>
              </w:rPr>
              <w:t xml:space="preserve">הכללה בסל: 21.01.2016</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התרופה האמורה תינתן לטיפול במחלת ריאות חסימתית כרונית (COPD – Chronic Obstructive Pulmonary Disease) לאחר אישור אבחנה ע"י בדיקת ספירומטריה.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Spiriva HandiHaler (Tiotropium 18 mcg)</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SPIRIVA RESPIMAT</w:t>
            </w:r>
          </w:p>
          <w:p>
            <w:pPr>
              <w:bidi/>
              <w:spacing w:after="20"/>
              <w:jc w:val="right"/>
            </w:pPr>
            <w:r>
              <w:rPr>
                <w:rFonts w:ascii="Arial" w:cs="Arial" w:eastAsia="Arial" w:hAnsi="Arial"/>
                <w:sz w:val="17"/>
                <w:szCs w:val="17"/>
                <w:rtl/>
                <w:lang w:val="he-IL" w:bidi="he-IL"/>
              </w:rPr>
              <w:t xml:space="preserve">רישום: 154 11 34255 00</w:t>
            </w:r>
          </w:p>
          <w:p>
            <w:pPr>
              <w:bidi/>
              <w:spacing w:after="20"/>
              <w:jc w:val="right"/>
            </w:pPr>
            <w:r>
              <w:rPr>
                <w:rFonts w:ascii="Arial" w:cs="Arial" w:eastAsia="Arial" w:hAnsi="Arial"/>
                <w:sz w:val="17"/>
                <w:szCs w:val="17"/>
                <w:rtl/>
                <w:lang w:val="he-IL" w:bidi="he-IL"/>
              </w:rPr>
              <w:t xml:space="preserve">הכללה בסל: 01.03.2008</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התרופה האמורה תינתן לטיפול במקרים האלה:</w:t>
            </w:r>
          </w:p>
          <w:p>
            <w:pPr>
              <w:bidi/>
              <w:spacing w:after="20"/>
              <w:jc w:val="right"/>
            </w:pPr>
            <w:r>
              <w:rPr>
                <w:rFonts w:ascii="Arial" w:cs="Arial" w:eastAsia="Arial" w:hAnsi="Arial"/>
                <w:sz w:val="17"/>
                <w:szCs w:val="17"/>
                <w:rtl/>
                <w:lang w:val="he-IL" w:bidi="he-IL"/>
              </w:rPr>
              <w:t xml:space="preserve">א. מחלת ריאות חסימתית כרונית (COPD – Chronic Obstructive Pulmonary Disease), לאחר אישור אבחנה ע"י בדיקת ספירומטריה.התרופה לא תינתן בשילוב עם Indacaterol. סעיף זה לא יחול על חולים עם FEV1 שווה או נמוך מ-60%.</w:t>
            </w:r>
          </w:p>
          <w:p>
            <w:pPr>
              <w:bidi/>
              <w:spacing w:after="20"/>
              <w:jc w:val="right"/>
            </w:pPr>
            <w:r>
              <w:rPr>
                <w:rFonts w:ascii="Arial" w:cs="Arial" w:eastAsia="Arial" w:hAnsi="Arial"/>
                <w:sz w:val="17"/>
                <w:szCs w:val="17"/>
                <w:rtl/>
                <w:lang w:val="he-IL" w:bidi="he-IL"/>
              </w:rPr>
              <w:t xml:space="preserve">ב. טיפול אחזקה בחולים בני 6 שנים ומעלה עם אסטמה חמורה שחוו לפחות החמרה (exacerbation) חמורה אחת של מחלתם בשנה האחרונה.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Spiriva Respimat (Tiotropium 2.5 mcg/נשיפה)</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SPIRIVA RESPIMAT</w:t>
            </w:r>
          </w:p>
          <w:p>
            <w:pPr>
              <w:bidi/>
              <w:spacing w:after="20"/>
              <w:jc w:val="right"/>
            </w:pPr>
            <w:r>
              <w:rPr>
                <w:rFonts w:ascii="Arial" w:cs="Arial" w:eastAsia="Arial" w:hAnsi="Arial"/>
                <w:sz w:val="17"/>
                <w:szCs w:val="17"/>
                <w:rtl/>
                <w:lang w:val="he-IL" w:bidi="he-IL"/>
              </w:rPr>
              <w:t xml:space="preserve">רישום: 154 11 34255 00</w:t>
            </w:r>
          </w:p>
          <w:p>
            <w:pPr>
              <w:bidi/>
              <w:spacing w:after="20"/>
              <w:jc w:val="right"/>
            </w:pPr>
            <w:r>
              <w:rPr>
                <w:rFonts w:ascii="Arial" w:cs="Arial" w:eastAsia="Arial" w:hAnsi="Arial"/>
                <w:sz w:val="17"/>
                <w:szCs w:val="17"/>
                <w:rtl/>
                <w:lang w:val="he-IL" w:bidi="he-IL"/>
              </w:rPr>
              <w:t xml:space="preserve">הכללה בסל: 01.03.2008</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התרופה האמורה תינתן לטיפול במקרים האלה:</w:t>
            </w:r>
          </w:p>
          <w:p>
            <w:pPr>
              <w:bidi/>
              <w:spacing w:after="20"/>
              <w:jc w:val="right"/>
            </w:pPr>
            <w:r>
              <w:rPr>
                <w:rFonts w:ascii="Arial" w:cs="Arial" w:eastAsia="Arial" w:hAnsi="Arial"/>
                <w:sz w:val="17"/>
                <w:szCs w:val="17"/>
                <w:rtl/>
                <w:lang w:val="he-IL" w:bidi="he-IL"/>
              </w:rPr>
              <w:t xml:space="preserve">א. מחלת ריאות חסימתית כרונית (COPD – Chronic Obstructive Pulmonary Disease), לאחר אישור אבחנה ע"י בדיקת ספירומטריה.התרופה לא תינתן בשילוב עם Indacaterol. סעיף זה לא יחול על חולים עם FEV1 שווה או נמוך מ-60%.</w:t>
            </w:r>
          </w:p>
          <w:p>
            <w:pPr>
              <w:bidi/>
              <w:spacing w:after="20"/>
              <w:jc w:val="right"/>
            </w:pPr>
            <w:r>
              <w:rPr>
                <w:rFonts w:ascii="Arial" w:cs="Arial" w:eastAsia="Arial" w:hAnsi="Arial"/>
                <w:sz w:val="17"/>
                <w:szCs w:val="17"/>
                <w:rtl/>
                <w:lang w:val="he-IL" w:bidi="he-IL"/>
              </w:rPr>
              <w:t xml:space="preserve">ב. טיפול אחזקה בחולים בני 6 שנים ומעלה עם אסטמה חמורה שחוו לפחות החמרה (exacerbation) חמורה אחת של מחלתם בשנה האחרונה.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Spiolto Respimat (Tiotropium/Olodaterol 2.5/2.5 mcg/נשיפה)</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SPIOLTO RESPIMAT</w:t>
            </w:r>
          </w:p>
          <w:p>
            <w:pPr>
              <w:bidi/>
              <w:spacing w:after="20"/>
              <w:jc w:val="right"/>
            </w:pPr>
            <w:r>
              <w:rPr>
                <w:rFonts w:ascii="Arial" w:cs="Arial" w:eastAsia="Arial" w:hAnsi="Arial"/>
                <w:sz w:val="17"/>
                <w:szCs w:val="17"/>
                <w:rtl/>
                <w:lang w:val="he-IL" w:bidi="he-IL"/>
              </w:rPr>
              <w:t xml:space="preserve">רישום: 155 58 34508 00</w:t>
            </w:r>
          </w:p>
          <w:p>
            <w:pPr>
              <w:bidi/>
              <w:spacing w:after="20"/>
              <w:jc w:val="right"/>
            </w:pPr>
            <w:r>
              <w:rPr>
                <w:rFonts w:ascii="Arial" w:cs="Arial" w:eastAsia="Arial" w:hAnsi="Arial"/>
                <w:sz w:val="17"/>
                <w:szCs w:val="17"/>
                <w:rtl/>
                <w:lang w:val="he-IL" w:bidi="he-IL"/>
              </w:rPr>
              <w:t xml:space="preserve">הכללה בסל: 21.01.2016</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התרופה האמורה תינתן לטיפול במחלת ריאות חסימתית כרונית (COPD – Chronic Obstructive Pulmonary Disease) לאחר אישור אבחנה ע"י בדיקת ספירומטריה.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Trimbow (Beclomethasone/Formoterol/Glycopyrronium)</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TRIMBOW 100/6/12.5</w:t>
            </w:r>
          </w:p>
          <w:p>
            <w:pPr>
              <w:bidi/>
              <w:spacing w:after="20"/>
              <w:jc w:val="right"/>
            </w:pPr>
            <w:r>
              <w:rPr>
                <w:rFonts w:ascii="Arial" w:cs="Arial" w:eastAsia="Arial" w:hAnsi="Arial"/>
                <w:sz w:val="17"/>
                <w:szCs w:val="17"/>
                <w:rtl/>
                <w:lang w:val="he-IL" w:bidi="he-IL"/>
              </w:rPr>
              <w:t xml:space="preserve">רישום: 164 94 36103 00</w:t>
            </w:r>
          </w:p>
          <w:p>
            <w:pPr>
              <w:bidi/>
              <w:spacing w:after="20"/>
              <w:jc w:val="right"/>
            </w:pPr>
            <w:r>
              <w:rPr>
                <w:rFonts w:ascii="Arial" w:cs="Arial" w:eastAsia="Arial" w:hAnsi="Arial"/>
                <w:sz w:val="17"/>
                <w:szCs w:val="17"/>
                <w:rtl/>
                <w:lang w:val="he-IL" w:bidi="he-IL"/>
              </w:rPr>
              <w:t xml:space="preserve">הכללה בסל: 16.01.2019</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התרופה תינתן לטיפול במקרים האלה:</w:t>
            </w:r>
          </w:p>
          <w:p>
            <w:pPr>
              <w:bidi/>
              <w:spacing w:after="20"/>
              <w:jc w:val="right"/>
            </w:pPr>
            <w:r>
              <w:rPr>
                <w:rFonts w:ascii="Arial" w:cs="Arial" w:eastAsia="Arial" w:hAnsi="Arial"/>
                <w:sz w:val="17"/>
                <w:szCs w:val="17"/>
                <w:rtl/>
                <w:lang w:val="he-IL" w:bidi="he-IL"/>
              </w:rPr>
              <w:t xml:space="preserve">א. מחלת ריאות חסימתית כרונית (COPD – Chronic Obstructive Pulmonary Disease).</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טיפול אחזקה בחולים בגירים עם אסטמה.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Trelegy Ellipta (Fluticasone furoate/Umeclidinium/Vilanterol)</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TRELEGY ELLIPTA 184 / 55 / 22 MCG</w:t>
            </w:r>
          </w:p>
          <w:p>
            <w:pPr>
              <w:bidi/>
              <w:spacing w:after="20"/>
              <w:jc w:val="right"/>
            </w:pPr>
            <w:r>
              <w:rPr>
                <w:rFonts w:ascii="Arial" w:cs="Arial" w:eastAsia="Arial" w:hAnsi="Arial"/>
                <w:sz w:val="17"/>
                <w:szCs w:val="17"/>
                <w:rtl/>
                <w:lang w:val="he-IL" w:bidi="he-IL"/>
              </w:rPr>
              <w:t xml:space="preserve">רישום: 168 61 36629 99</w:t>
            </w:r>
          </w:p>
          <w:p>
            <w:pPr>
              <w:bidi/>
              <w:spacing w:after="20"/>
              <w:jc w:val="right"/>
            </w:pPr>
            <w:r>
              <w:rPr>
                <w:rFonts w:ascii="Arial" w:cs="Arial" w:eastAsia="Arial" w:hAnsi="Arial"/>
                <w:sz w:val="17"/>
                <w:szCs w:val="17"/>
                <w:rtl/>
                <w:lang w:val="he-IL" w:bidi="he-IL"/>
              </w:rPr>
              <w:t xml:space="preserve">הכללה בסל: 16.01.2019</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התרופה תינתן לטיפול במקרים האלה:</w:t>
            </w:r>
          </w:p>
          <w:p>
            <w:pPr>
              <w:bidi/>
              <w:spacing w:after="20"/>
              <w:jc w:val="right"/>
            </w:pPr>
            <w:r>
              <w:rPr>
                <w:rFonts w:ascii="Arial" w:cs="Arial" w:eastAsia="Arial" w:hAnsi="Arial"/>
                <w:sz w:val="17"/>
                <w:szCs w:val="17"/>
                <w:rtl/>
                <w:lang w:val="he-IL" w:bidi="he-IL"/>
              </w:rPr>
              <w:t xml:space="preserve">א. מחלת ריאות חסימתית כרונית (COPD – Chronic Obstructive Pulmonary Disease).</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טיפול אחזקה בחולים בגירים עם אסטמה שעונים על כל אלה:</w:t>
            </w:r>
          </w:p>
          <w:p>
            <w:pPr>
              <w:bidi/>
              <w:spacing w:after="20"/>
              <w:jc w:val="right"/>
            </w:pPr>
            <w:r>
              <w:rPr>
                <w:rFonts w:ascii="Arial" w:cs="Arial" w:eastAsia="Arial" w:hAnsi="Arial"/>
                <w:sz w:val="17"/>
                <w:szCs w:val="17"/>
                <w:rtl/>
                <w:lang w:val="he-IL" w:bidi="he-IL"/>
              </w:rPr>
              <w:t xml:space="preserve">1. מטופלים במינון גבוה בטיפול משולב של  קורטיקוסטרואידים בשאיפה (ICS) ותרופות ממשפחת ה-Long acting beta agonists (LABA).</w:t>
            </w:r>
          </w:p>
          <w:p>
            <w:pPr>
              <w:bidi/>
              <w:spacing w:after="20"/>
              <w:jc w:val="right"/>
            </w:pPr>
            <w:r>
              <w:rPr>
                <w:rFonts w:ascii="Arial" w:cs="Arial" w:eastAsia="Arial" w:hAnsi="Arial"/>
                <w:sz w:val="17"/>
                <w:szCs w:val="17"/>
                <w:rtl/>
                <w:lang w:val="he-IL" w:bidi="he-IL"/>
              </w:rPr>
              <w:t xml:space="preserve">2. חוו לפחות החמרה (exacerbation) אחת של מחלתם בשנה האחרונה שחייבה טיפול בסטרואידים סיסטמיים.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Trixeo Aerosphere (Budesonide/Glycopyrronium/Formoterol 160/7.2/5 mcg)</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TRIXEO AEROSPHERE</w:t>
            </w:r>
          </w:p>
          <w:p>
            <w:pPr>
              <w:bidi/>
              <w:spacing w:after="20"/>
              <w:jc w:val="right"/>
            </w:pPr>
            <w:r>
              <w:rPr>
                <w:rFonts w:ascii="Arial" w:cs="Arial" w:eastAsia="Arial" w:hAnsi="Arial"/>
                <w:sz w:val="17"/>
                <w:szCs w:val="17"/>
                <w:rtl/>
                <w:lang w:val="he-IL" w:bidi="he-IL"/>
              </w:rPr>
              <w:t xml:space="preserve">רישום: 169 60 36905 99</w:t>
            </w:r>
          </w:p>
          <w:p>
            <w:pPr>
              <w:bidi/>
              <w:spacing w:after="20"/>
              <w:jc w:val="right"/>
            </w:pPr>
            <w:r>
              <w:rPr>
                <w:rFonts w:ascii="Arial" w:cs="Arial" w:eastAsia="Arial" w:hAnsi="Arial"/>
                <w:sz w:val="17"/>
                <w:szCs w:val="17"/>
                <w:rtl/>
                <w:lang w:val="he-IL" w:bidi="he-IL"/>
              </w:rPr>
              <w:t xml:space="preserve">הכללה בסל: 03.02.2022</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התרופה האמורה תינתן לטיפול במחלת ריאות חסימתית כרונית (COPD – Chronic Obstructive Pulmonary Disease)</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Enerzair Breezhaler (Mometasone/Indacaterol/Glycopyrronium)</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ENERZAIR BREEZHALER 114 MCG/46 MCG/136 MCG</w:t>
            </w:r>
          </w:p>
          <w:p>
            <w:pPr>
              <w:bidi/>
              <w:spacing w:after="20"/>
              <w:jc w:val="right"/>
            </w:pPr>
            <w:r>
              <w:rPr>
                <w:rFonts w:ascii="Arial" w:cs="Arial" w:eastAsia="Arial" w:hAnsi="Arial"/>
                <w:sz w:val="17"/>
                <w:szCs w:val="17"/>
                <w:rtl/>
                <w:lang w:val="he-IL" w:bidi="he-IL"/>
              </w:rPr>
              <w:t xml:space="preserve">(רישום מבוטל – נוסח היסטורי)</w:t>
            </w:r>
          </w:p>
          <w:p>
            <w:pPr>
              <w:bidi/>
              <w:spacing w:after="20"/>
              <w:jc w:val="right"/>
            </w:pPr>
            <w:r>
              <w:rPr>
                <w:rFonts w:ascii="Arial" w:cs="Arial" w:eastAsia="Arial" w:hAnsi="Arial"/>
                <w:sz w:val="17"/>
                <w:szCs w:val="17"/>
                <w:rtl/>
                <w:lang w:val="he-IL" w:bidi="he-IL"/>
              </w:rPr>
              <w:t xml:space="preserve">רישום: 168 70 36695 99</w:t>
            </w:r>
          </w:p>
          <w:p>
            <w:pPr>
              <w:bidi/>
              <w:spacing w:after="20"/>
              <w:jc w:val="right"/>
            </w:pPr>
            <w:r>
              <w:rPr>
                <w:rFonts w:ascii="Arial" w:cs="Arial" w:eastAsia="Arial" w:hAnsi="Arial"/>
                <w:sz w:val="17"/>
                <w:szCs w:val="17"/>
                <w:rtl/>
                <w:lang w:val="he-IL" w:bidi="he-IL"/>
              </w:rPr>
              <w:t xml:space="preserve">הכללה בסל: 17.03.2024</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התרופה האמורה תינתן לטיפול אחזקה בחולים בגירים עם אסטמה שעונים על כל אלה:</w:t>
            </w:r>
          </w:p>
          <w:p>
            <w:pPr>
              <w:bidi/>
              <w:spacing w:after="20"/>
              <w:jc w:val="right"/>
            </w:pPr>
            <w:r>
              <w:rPr>
                <w:rFonts w:ascii="Arial" w:cs="Arial" w:eastAsia="Arial" w:hAnsi="Arial"/>
                <w:sz w:val="17"/>
                <w:szCs w:val="17"/>
                <w:rtl/>
                <w:lang w:val="he-IL" w:bidi="he-IL"/>
              </w:rPr>
              <w:t xml:space="preserve">א. מטופלים במינון גבוה בטיפול משולב של  קורטיקוסטרואידים בשאיפה (ICS) ותרופות ממשפחת ה-Long acting beta agonists (LABA).</w:t>
            </w:r>
          </w:p>
          <w:p>
            <w:pPr>
              <w:bidi/>
              <w:spacing w:after="20"/>
              <w:jc w:val="right"/>
            </w:pPr>
            <w:r>
              <w:rPr>
                <w:rFonts w:ascii="Arial" w:cs="Arial" w:eastAsia="Arial" w:hAnsi="Arial"/>
                <w:sz w:val="17"/>
                <w:szCs w:val="17"/>
                <w:rtl/>
                <w:lang w:val="he-IL" w:bidi="he-IL"/>
              </w:rPr>
              <w:t xml:space="preserve">ב. חוו לפחות החמרה (exacerbation) אחת של מחלתם בשנה האחרונה שחייבה טיפול בסטרואידים סיסטמיים.</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Xolair (Omalizumab 75/150/300 mg) – anti-IgE</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XOLAIR ® 150 MG</w:t>
            </w:r>
          </w:p>
          <w:p>
            <w:pPr>
              <w:bidi/>
              <w:spacing w:after="20"/>
              <w:jc w:val="right"/>
            </w:pPr>
            <w:r>
              <w:rPr>
                <w:rFonts w:ascii="Arial" w:cs="Arial" w:eastAsia="Arial" w:hAnsi="Arial"/>
                <w:sz w:val="17"/>
                <w:szCs w:val="17"/>
                <w:rtl/>
                <w:lang w:val="he-IL" w:bidi="he-IL"/>
              </w:rPr>
              <w:t xml:space="preserve">רישום: 132 61 31124 00</w:t>
            </w:r>
          </w:p>
          <w:p>
            <w:pPr>
              <w:bidi/>
              <w:spacing w:after="20"/>
              <w:jc w:val="right"/>
            </w:pPr>
            <w:r>
              <w:rPr>
                <w:rFonts w:ascii="Arial" w:cs="Arial" w:eastAsia="Arial" w:hAnsi="Arial"/>
                <w:sz w:val="17"/>
                <w:szCs w:val="17"/>
                <w:rtl/>
                <w:lang w:val="he-IL" w:bidi="he-IL"/>
              </w:rPr>
              <w:t xml:space="preserve">הכללה בסל: 01.07.2006</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 בהתקיים סעיפים א-ד יחד עם סעיף ה' או עם סעיף ו':</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א. אסטמה קשה מתמדת שלמרות טיפולי מירבי נכון ורציף לפי GINA שלב 4, אינה מאוזנת ושיש בה מרכיב הפיך (שינוי של 12% או יותר בערכי FEV1 לאחר מתן מרחיבי סימפונות).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חולה שאינו מעשן ושטופלו גורמים אחרים המחמירים אסטמה (אלרגניים, חשיפה תעסוקתית, תרופות).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ג. אסטמה אלרגית, באישור רופא מומחה למחלות אלרגיה או רופא מומחה למחלות ריאה בתנאי שהחולה עבר בירור אלרגי ונמצא חיובי לאלרגן רלוונטי.</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ד. רמות IgE בין 30 ל-1500 יחידות.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 חולים שלמרות טיפול מיטבי על פי GINA שלב 4, עברו שני התקפי אסטמה או יותר שדרשו טיפול סיסטמי עם סטרואידים בשנים עשר החודשים האחרונים.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ו. קיום התוויות נגד יחסיות למתן קורסים חוזרים של סטרואידים סיסטמיים בשל תופעות לוואי או מחלות נלוות (כגון אוסטיאופורוזיס).</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2. טיפול ב-chronic spontaneous urticaria בחולים העונים על כל אלה: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א. חולים באורטיקריה כרונית ספונטנית אשר מחלתם נמשכה לפחות שלושה חודשים והינה עמידה לטיפול באנטי היסטמינים במינון רשום ועד הגעה למינון מוגבר (פי 3-4 מהמינון המקובל) במשך שבועיים – ארבעה שבועות מתחילת מתן האנטי היסטמיניים.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הטיפול בתרופה ייעשה לפי מרשם של רופא מומחה באלרגיה ואימונולוגיה קלינית או ברפואת עור ומין.</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Nucala (Mepolizumab 100 mg) – anti-IL-5</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NUCALA POWDER FOR SOLUTION FOR INJECTION</w:t>
            </w:r>
          </w:p>
          <w:p>
            <w:pPr>
              <w:bidi/>
              <w:spacing w:after="20"/>
              <w:jc w:val="right"/>
            </w:pPr>
            <w:r>
              <w:rPr>
                <w:rFonts w:ascii="Arial" w:cs="Arial" w:eastAsia="Arial" w:hAnsi="Arial"/>
                <w:sz w:val="17"/>
                <w:szCs w:val="17"/>
                <w:rtl/>
                <w:lang w:val="he-IL" w:bidi="he-IL"/>
              </w:rPr>
              <w:t xml:space="preserve">רישום: 157 57 34861 00</w:t>
            </w:r>
          </w:p>
          <w:p>
            <w:pPr>
              <w:bidi/>
              <w:spacing w:after="20"/>
              <w:jc w:val="right"/>
            </w:pPr>
            <w:r>
              <w:rPr>
                <w:rFonts w:ascii="Arial" w:cs="Arial" w:eastAsia="Arial" w:hAnsi="Arial"/>
                <w:sz w:val="17"/>
                <w:szCs w:val="17"/>
                <w:rtl/>
                <w:lang w:val="he-IL" w:bidi="he-IL"/>
              </w:rPr>
              <w:t xml:space="preserve">הכללה בסל: 17.03.2024</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 אסתמה אאוזינופילית חמורה בחולים בני 12 שנים ומעלה העונים על כל אלה: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א. אסתמה בדרגת חומרה קשה (על פי הנחיות GINA) שאובחנה ע"י מומחה ברפואת ריאות או רופא מומחה באלרגיה ואימונולוגיה קלינית, המוגדרת לפי שימוש קבוע ב-ICS במינון גבוה (על פי הנחיות GINA) יחד עם תרופה שנייה, בדרך כלל LABA.</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עונים על אחד מאלה: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א. אאוזינופיליה בדם ברמה של 150 תאים פר מיקרוליטר ומעלה בשתי בדיקות דם מהשנתיים האחרונות, אשר עונים על לפחות אחד מאלה: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1. שתי החמרות או יותר אשר לפחות אחת מהן הצריכה פניה למיון או אשפוז בשנה האחרונה עקב אסתמה לא מאוזנת.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2. שלוש החמרות או יותר בשנה האחרונה שנזקקו לטיפול בסטרואידים סיסטמיים במשך לפחות שלושה ימים.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3. חולי אסתמה הזקוקים לטיפול קבוע בקורטיקוסטרואידים במתן פומי למשך לפחות 50% מהזמן במטרה לשלוט במחלה.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אאוזינופיליה בדם ברמה של 400 תאים פר מיקרוליטר ומטה, בשתי בדיקות דם מהשנתיים האחרונות המטופלים באופן קבוע בקורטיקוסטרואידים במתן פומי (מינון קבוע תואם 5 מ"ג ומעלה פרדניזון ליום או שימוש בקורטיקוסטרואידים במינון של מעל 5 מ"ג ומעלה פרדניזון ליום למשך לפחות ששה חודשים בשנה (לתקופה רציפה או לא רציפה שקדמה לתחילת הטיפול)) במטרה לשלוט במחלה.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ג. הטיפול לא יינתן בשילוב עם Dupilumab או בשילוב עם Omalizumab.</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ד. הטיפול בתרופה האמור ייעשה לפי מרשם של רופא מומחה ברפואת ריאות או רופא מומחה באלרגיה ואימונולוגיה קלינית.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2. Eosinophilc granulomatosis with polyangitis (EGPA) רפרקטורית או עם התלקחויות חוזרות בחולים בגירים העונים על כל אלה: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א. עונה על כל אלה: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1. מאובחן באסטמה המצוי במעקב מומחה ברפואת ריאות או מומחה באימונולוגיה קלינית או מומחה באלרגיה, שהוא בעל תפקודי נשיפה המדגימים חסימה הפיכה עפ"י הקריטריונים.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2. אאוזינופיליה מתמדת (לפחות בדיקה אחת מעל 1500 תאים או מעל 10% מספירת התאים הלבנים).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עונה על שניים מהבאים: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1. וסקוליטיס עם אאוזינופילים בדופן כלי הדם בביופסיה מאיבר כלשהו;</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2. גלומרולונפריטיס בביופסיית כליה או משקע שתן המתאים לגלומרולונפריטיס (גלילי RBC) ו/או אירוע מוכח של פריקרדיטיס (ע"פ קליניקה, מדדי דלקת, אק"ג ואקו לב) / מיוקרדיטיס (כנ"ל, לרבות טרופונין חיובי) או MI (עם הוכחה של דלקת בכלי הדם הכליליים);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3. דימום אלוואולרי או הצללות מפוזרות בריאות (לא כולל תסנינים ריאתיים למעט תסנינים מפוזרים שהודגמו על ידי 3 בדיקות הדמיה עוקבות וללא עדות למחלה זיהומית בה בעת);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4. בדיקת p-ANCA חיובית;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5. נוירופתיה מסוג mononeuritis multiplex או simplex;</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6. סינוסיטיס כרונית עם פוליפים נזלים.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ג. לאחר כשלון בטיפול בגלוקוקורטיקואידים (במינון מעל 7.5 מ"ג) למשך שלושה חודשים לפחות.לעניין זו תוגדר מחלה רפרקטורית ככישלון להגיע להפוגה של המחלה לאחר טיפול מקובל למשך שלושה חודשים לפחות בזמן הורדת מינון הסטרואידים למנה של מתחת ל-7.5 מ"ג ליום. התלקחות תוגדר כצורך להעלות את מינון הסטרואידים הסיסטמיים, צורך להתחיל או לעלות מינון של טיפול אימונוסופרסיבי אחר, אשפוז עקב התלקחות של המחלה בשנתיים האחרונות.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ד. הטיפול בתרופה האמורה ייעשה לפי מרשם של רופא מומחה ברפואת ריאות או רופא מומחה באלרגיה ואימונולוגיה קלינית או רופא מומחה בראומטולוגיה.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3. טיפול בתסמונת היפראאוזינופילית (Hypereosinophilic syndrome (HES))</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א. הטיפול יינתן לחולים העונים על כל אלה: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1. לפחות 6 חודשים מאבחון התסמונת.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2. תסמונת לא מבוקרת, ללא סיבה משנית לא המטולוגית.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3. אאוזינופיליה בדם ברמה של 1,500 תאים/מיקרוליטר ומעלה בשתי בדיקות דם מהשנתיים האחרונות בהפרש של חודש לפחות בין בדיקה לבדיקה.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4. עדות לפגיעה, עקב רמות אאוזינופילים גבוהות, באיבר או ברקמה, אשר תוארו ב-HES, כגון לב, עור, ריאות, מערכת העיכול ומערכת העצבים.במקרה של מחלה ריאתית שיכולה להתאים לאסטמה תידרש עדות לפגיעה במערכת נוספת כגון עור, לב, מערכת העיכול או מערכת העצבים.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5. לאחר כישלון להשגת הפוגה של המחלה או התלקחות המחלה לאחר טיפול מקובל בסטרואידים למשך שלושה חודשים לפחות בזמן הורדת מינון הסטרואידים למנה של מתחת ל-7.5 מ"ג ליום. לעניין זה תוגדר התלקחות כאחד מאלה: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א. צורך להעלות מינון סטרואידים סיסטמייםב. צורך להתחיל או להעלות מינון של טיפול אימונוסופרסיבי אחרג. אשפוז עקב התלקחות של המחלה בשנתיים האחרונות.סעיף זה לא יחול על חולים עם HES ומחלה מטבולית, בהם שימוש בסטרואידים סיסטמיים במינון גבוה עשוי להיות מסוכן, ועל כן אין להתנות טיפול במפוליזומאב לאחר הוכחת כישלון בטיפול בסטרואידים.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הטיפול בתרופה האמורה ייעשה לפי מרשם של רופא מומחה באלרגיה ואימונולוגיה קלינית או בראומטולוגיה או בהמטולוגיה.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Fasenra (Benralizumab 30 mg) – anti-IL-5Rα</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FASENRA</w:t>
            </w:r>
          </w:p>
          <w:p>
            <w:pPr>
              <w:bidi/>
              <w:spacing w:after="20"/>
              <w:jc w:val="right"/>
            </w:pPr>
            <w:r>
              <w:rPr>
                <w:rFonts w:ascii="Arial" w:cs="Arial" w:eastAsia="Arial" w:hAnsi="Arial"/>
                <w:sz w:val="17"/>
                <w:szCs w:val="17"/>
                <w:rtl/>
                <w:lang w:val="he-IL" w:bidi="he-IL"/>
              </w:rPr>
              <w:t xml:space="preserve">רישום: 160 82 35371 00</w:t>
            </w:r>
          </w:p>
          <w:p>
            <w:pPr>
              <w:bidi/>
              <w:spacing w:after="20"/>
              <w:jc w:val="right"/>
            </w:pPr>
            <w:r>
              <w:rPr>
                <w:rFonts w:ascii="Arial" w:cs="Arial" w:eastAsia="Arial" w:hAnsi="Arial"/>
                <w:sz w:val="17"/>
                <w:szCs w:val="17"/>
                <w:rtl/>
                <w:lang w:val="he-IL" w:bidi="he-IL"/>
              </w:rPr>
              <w:t xml:space="preserve">הכללה בסל: 16.01.2019</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 אסתמה אאוזינופילית חמורה בחולים בני 12 שנים ומעלה העונים על כל אלה: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1. אסתמה בדרגת חומרה קשה (על פי הנחיות GINA) שאובחנה ע"י מומחה ברפואת ריאות או רופא מומחה באלרגיה ואימונולוגיה קלינית, המוגדרת לפי שימוש קבוע ב-ICS במינון גבוה (על פי הנחיות GINA) יחד עם תרופה שנייה, בדרך כלל LABA.</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2. עונים על אחד מאלה: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א. אאוזינופיליה בדם ברמה של 300 תאים פר מיקרוליטר ומעלה בשתי בדיקות דם מהשנתיים האחרונות, אשר עונים על לפחות אחד מאלה: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1. שתי החמרות או יותר אשר לפחות אחת מהן הצריכה פניה למיון או אשפוז בשנה האחרונה עקב אסתמה לא מאוזנת.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2. שלוש החמרות או יותר בשנה האחרונה שנזקקו לטיפול בסטרואידים סיסטמיים במשך לפחות שלושה ימים.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3. חולי אסתמה הזקוקים לטיפול קבוע בקורטיקוסטרואידים במתן פומי למשך לפחות 50% מהזמן במטרה לשלוט במחלה.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אאוזינופיליה בדם ברמה של 400 תאים פר מיקרוליטר ומטה, בשתי בדיקות דם מהשנתיים האחרונות, המטופלים באופן קבוע בקורטיקוסטרואידים במתן פומי (מינון קבוע תואם 5 מ"ג ומעלה פרדניזון ליום או שימוש בקורטיקוסטרואידים במינון של מעל 5 מ"ג ומעלה פרדניזון ליום למשך לפחות ששה חודשים בשנה (לתקופה רציפה או לא רציפה שקדמה לתחילת הטיפול)) במטרה לשלוט במחלה. הטיפול לא יינתן בשילוב עם Dupilumab או בשילוב עם Omalizumab. הטיפול בתרופה האמורה ייעשה לפי מרשם של רופא מומחה ברפואת ריאות או רופא מומחה באלרגיה ואימונולוגיה קלינית.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Eosinophilc granulomatosis with polyangitis (EGPA) רפרקטורית או עם התלקחויות חוזרות בחולים בגירים העונים על כל אלה: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1. עונה על כל אלה: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א. מאובחן באסטמה המצוי במעקב מומחה ברפואת ריאות או מומחה באימונולוגיה קלינית או מומחה באלרגיה, שהוא בעל תפקודי נשיפה המדגימים חסימה הפיכה עפ"י הקריטריונים.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אאוזינופיליה מתמדת (לפחות בדיקה אחת מעל 1500 תאים או מעל 10% מספירת התאים הלבנים).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2. עונה על שניים מהבאים: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א. וסקוליטיס עם אאוזינופילים בדופן כלי הדם בביופסיה מאיבר כלשהו;</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גלומרולונפריטיס בביופסיית כליה או משקע שתן המתאים לגלומרולונפריטיס (גלילי RBC) ו/או אירוע מוכח של פריקרדיטיס (ע"פ קליניקה, מדדי דלקת, אק"ג ואקו לב) / מיוקרדיטיס (כנ"ל, לרבות טרופונין חיובי) או MI (עם הוכחה של דלקת בכלי הדם הכליליים);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ג. דימום אלוואולרי או הצללות מפוזרות בריאות (לא כולל תסנינים ריאתיים למעט תסנינים מפוזרים שהודגמו על ידי 3 בדיקות הדמיה עוקבות וללא עדות למחלה זיהומית בה בעת);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ד. בדיקת p-ANCA חיובית;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 נוירופתיה מסוג mononeuritis multiplex או simplex;</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ו. סינוסיטיס כרונית עם פוליפים נזלים.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3. לאחר כישלון בטיפול בגלוקוקורטיקואידים (במינון מעל 7.5 מ"ג) למשך שלושה חודשים לפחות.לעניין זו תוגדר מחלה רפרקטורית ככישלון להגיע להפוגה של המחלה לאחר טיפול מקובל למשך שלושה חודשים לפחות בזמן הורדת מינון הסטרואידים למנה של מתחת ל-7.5 מ"ג ליום. התלקחות תוגדר כצורך להעלות את מינון הסטרואידים הסיסטמיים, צורך להתחיל או לעלות מינון של טיפול אימונוסופרסיבי אחר, אשפוז עקב התלקחות של המחלה בשנתיים האחרונות.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4. הטיפול בתרופה האמורה ייעשה לפי מרשם של רופא מומחה ברפואת ריאות או רופא מומחה באלרגיה ואימונולוגיה קלינית או רופא מומחה בראומטולוגיה.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Dupixent (Dupilumab 200/300 mg) – anti-IL-4Rα (חוסם IL-4 ו-IL-13)</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DUPIXENT 200 MG</w:t>
            </w:r>
          </w:p>
          <w:p>
            <w:pPr>
              <w:bidi/>
              <w:spacing w:after="20"/>
              <w:jc w:val="right"/>
            </w:pPr>
            <w:r>
              <w:rPr>
                <w:rFonts w:ascii="Arial" w:cs="Arial" w:eastAsia="Arial" w:hAnsi="Arial"/>
                <w:sz w:val="17"/>
                <w:szCs w:val="17"/>
                <w:rtl/>
                <w:lang w:val="he-IL" w:bidi="he-IL"/>
              </w:rPr>
              <w:t xml:space="preserve">רישום: 164 42 36128 00</w:t>
            </w:r>
          </w:p>
          <w:p>
            <w:pPr>
              <w:bidi/>
              <w:spacing w:after="20"/>
              <w:jc w:val="right"/>
            </w:pPr>
            <w:r>
              <w:rPr>
                <w:rFonts w:ascii="Arial" w:cs="Arial" w:eastAsia="Arial" w:hAnsi="Arial"/>
                <w:sz w:val="17"/>
                <w:szCs w:val="17"/>
                <w:rtl/>
                <w:lang w:val="he-IL" w:bidi="he-IL"/>
              </w:rPr>
              <w:t xml:space="preserve">הכללה בסל: 11.01.2018</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 מונותרפיה לטיפול ב-Atopic dermatitis בדרגת חומרה בינונית עד קשה (בהתאם לסקלת IGA דרגה 3 או 4) בחולים בני 12 שנים ומעלה שמחלתם לא נשלטת או עבורם קיימת הוריית נגד לאחר טיפול מקומי וקו טיפול סיסטמי אחד לפחות (לעניין זה טיפול סיסטמי יחשב כאחד מאלה - Cyclosporine, Azathioprine, Mycophenolate, Methotrexate), שנמשכו כל אחד לפחות 3 חודשים, למעט במקרים של החמרה משמעותית במצב החולה או במידה והתפתחו תופעות לוואי שאינן מאפשרות המשך טיפול.הטיפול לא יינתן בשילוב עם Abrocitinib או Baricitinib או Upadacitinib או Lebrikizumab. במהלך מחלתו יהיה החולה זכאי לקבל טיפול ב–Dupilumab או Lebrikizumab, ובאחת משלוש התרופות – Upadacitinib, Abrocitinib, Baricitinib. מתן התרופה האמורה ייעשה לפי מרשם של רופא מומחה ברפואת עור ומין או רופא מומחה באלרגיה ואימונולוגיה קלינית.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מונותרפיה לטיפול ב-Atopic dermatitis בדרגת חומרה בינונית עד קשה (בהתאם לסקלת IGA דרגה 3 או 4) בחולים בני 6 חודשים ומעלה שלא מלאו להם 12 שנים שמחלתם לא נשלטת או עבורם קיימת הוריית נגד לאחר טיפול מקומי שנמשך לפחות 3 חודשים, למעט במקרים של החמרה משמעותית במצב החולה או במידה והתפתחו תופעות לוואי שאינן מאפשרות המשך טיפול.הטיפול לא יינתן בשילוב עם Abrocitinib או Baricitinib או Upadacitinib או Lebrikizumab. במהלך מחלתו יהיה החולה זכאי לקבל טיפול ב–Dupilumab או Lebrikizumab, ובאחת משלוש התרופות – Upadacitinib, Abrocitinib, Baricitinib. מתן התרופה האמורה ייעשה לפי מרשם של רופא מומחה ברפואת עור ומין או רופא מומחה באלרגיה ואימונולוגיה קלינית.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ג. מונותרפיה לטיפול בחולה בגיר עם Prurigo nodularis בדרגת חומרה בינונית עד קשה (בהתאם לסקלת IGA דרגה 3 או 4), שמחלתו לא נשלטת או קיימת עבורו הוריית נגד, לאחר טיפול מקומי וקו טיפול סיסטמי אחד לפחות. לעניין זה טיפול סיסטמי יחשב כאחד מאלה - Cyclosporine, Azathioprine, Mycophenolate, Methotrexate, שנמשכו כל אחד לפחות 3 חודשים, למעט במקרים של החמרה משמעותית במצב החולה או במידה והתפתחו תופעות לוואי שאינן מאפשרות המשך טיפול.מתן התרופה האמורה ייעשה לפי מרשם של רופא מומחה ברפואת עור ומין או רופא מומחה באלרגיה ואימונולוגיה קלינית.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ד. אסטמה בדרגת חומרה קשה בחולים בני 12 שנים ומעלה העונים על אחד מאלה: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1. חולים עם אאוזינופיליה בדם ברמה של 150 תאים פר מיקרוליטר ומעלה בשתי בדיקות דם מהשנתיים האחרונות, אשר עונים על לפחות אחד מאלה: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א. שתי החמרות או יותר אשר לפחות אחת מהן הצריכה פניה למיון או אשפוז בשנה האחרונה עקב אסתמה לא מאוזנת.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שלוש החמרות או יותר בשנה האחרונה שנזקקו לטיפול בסטרואידים סיסטמיים במשך לפחות שלושה ימים.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ג. חולי אסתמה הזקוקים לטיפול קבוע בקורטיקוסטרואידים במתן פומי למשך לפחות 50% מהזמן במטרה לשלוט במחלה. הטיפול לא יינתן בשילוב עם אחת מהתרופות האלה – Benralizumab, Mepolizumab, Reslizumab2. חולים עם אאוזינופיליה בדם ברמה של 400 תאים פר מיקרוליטר ומטה, בשתי בדיקות דם מהשנתיים האחרונות, העונים על כל אלה: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א. לוקים באסתמה בדרגת חומרה קשה (על פי הנחיות GINA) שאובחנה ע"י רופא מומחה ברפואת ריאות או רופא מומחה באלרגיה ואימונולוגיה קלינית, המוגדרת לפי שימוש קבוע בקורטיקוסטרואידים בשאיפה (ICS) במינון גבוה (על פי הנחיות GINA) בשילוב עם תרופה נוספת, בדרך כלל LABA.</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מטופלים באופן קבוע בקורטיקוסטרואידים במתן פומי (מינון קבוע תואם 5 מ"ג ומעלה פרדניזון ליום או שימוש בקורטיקוסטרואידים במינון של מעל 5 מ"ג ומעלה פרדניזון ליום למשך לפחות שישה חודשים בשנה (לתקופה רציפה או לא רציפה שקדמה לתחילת הטיפול)) במטרה לשלוט במחלה. הטיפול לא יינתן בשילוב עם אחת מהתרופות האלה – Benralizumab, Mepolizumab, Reslizumab3. אסטמה בדרגת חומרה קשה לאחר כישלון טיפולי בתרופות ממשפחת חוסמי IL-</w:t>
            </w:r>
          </w:p>
          <w:p>
            <w:pPr>
              <w:bidi/>
              <w:spacing w:after="20"/>
              <w:jc w:val="right"/>
            </w:pPr>
            <w:r>
              <w:rPr>
                <w:rFonts w:ascii="Arial" w:cs="Arial" w:eastAsia="Arial" w:hAnsi="Arial"/>
                <w:sz w:val="17"/>
                <w:szCs w:val="17"/>
                <w:rtl/>
                <w:lang w:val="he-IL" w:bidi="he-IL"/>
              </w:rPr>
              <w:t xml:space="preserve">5. לעניין זה כישלון טיפולי יוגדר כאחד מאלה: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1. אי-יכולת להוריד מינון סטרואידים פומיים לפחות מ-5 מ"ג פרדניזון ביום, או ירידה של פחות מ-50% מהמינון ההתחלתי לאחר שנה של טיפול.</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2. שתי התלקחויות בשנה (הדורשות מתן או העלאת מינון סטרואידים פומיים במשך 3 ימים) למרות הטיפול הביולוגי קיים. הטיפול לא יינתן בשילוב עם אחת מהתרופות האלה – Benralizumab, Mepolizumab, Reslizumabמתן התרופה האמורה ייעשה לפי מרשם של רופא מומחה ברפואת ריאות או רופא מומחה באלרגיה ואימונולוגיה קלינית.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 אסטמה אאוזינופילית בדרגת חומרה קשה (על פי הנחיות GINA) בילדים בגיל 6-12 שנים העונים על כל אלה: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1. מחלה שאובחנה ע"י רופא מומחה ברפואת ריאות ילדים או רופא מומחה באלרגיה ואימונולוגיה קלינית;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2. שימוש קבוע למשך 6 חודשים לפחות בקורטיקוסטרואידים בשאיפה (ICS) במינון גבוה (על פי הנחיות GINA) בשילוב עם תרופה נוספת במטרה לשלוט על המחלה;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3. עדות לדלקת אאוזינופילית על ידי רמת אאוזינופילים בדם של 150 תאים פר מיקרוליטר ומעלה או FeNO בערך של 25 ppb ומעלה, שניהם בשתי בדיקות דם מהשנתיים האחרונות, העונים על לפחות אחד מאלה: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א. שימוש בשני מחזורי טיפול של סטרואידים סיסטמיים בשנה האחרונה;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התלקחות אסטמה שדרשה אשפוז בשנה האחרונה;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ג. טיפול ב-Omalizumab שנמשך 3 חודשים ומעלה ולא השיג את יעדי הטיפול.</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ד. הטיפול לא יינתן בשילוב עם תרופות ממשפחת מעכבי IL5. מתן התרופה האמורה ייעשה לפי מרשם של רופא מומחה ברפואת ריאות או רופא מומחה בריאות ילדים או רופא מומחה באלרגיה ואימונולוגיה קלינית.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ו. טיפול בחולים בני שנה ומעלה עם דלקת ושט אאוזינופילית (eosinophilic esophagitis (EoE) כקו טיפול מתקדם לאחר מיצוי טיפול בתרופות ממשפחת PPIs וקורטיקוסטרואידים (למשך 3 חודשים לפחות במינון מקסימלי לאינדוקציה, או במינון אחזקה מרבי לאחר השראת הפוגה) במתן מקומי במערכת העיכול. אבחנת המחלה ומיצוי טיפול ייקבעו על סמך היסטולוגיה בביופסיה מבדיקת גסטרוסקופיה.התחלת הטיפול בתרופה תיעשה לפי מרשם של רופא מומחה בגסטרואנטרולוגיה או רופא מומחה באלרגיה ואימונולוגיה קלינית.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Tezspire (Tezepelumab 210 mg) – anti-TSLP</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TEZSPIRE</w:t>
            </w:r>
          </w:p>
          <w:p>
            <w:pPr>
              <w:bidi/>
              <w:spacing w:after="20"/>
              <w:jc w:val="right"/>
            </w:pPr>
            <w:r>
              <w:rPr>
                <w:rFonts w:ascii="Arial" w:cs="Arial" w:eastAsia="Arial" w:hAnsi="Arial"/>
                <w:sz w:val="17"/>
                <w:szCs w:val="17"/>
                <w:rtl/>
                <w:lang w:val="he-IL" w:bidi="he-IL"/>
              </w:rPr>
              <w:t xml:space="preserve">רישום: 171 59 37290 00</w:t>
            </w:r>
          </w:p>
          <w:p>
            <w:pPr>
              <w:bidi/>
              <w:spacing w:after="20"/>
              <w:jc w:val="right"/>
            </w:pPr>
            <w:r>
              <w:rPr>
                <w:rFonts w:ascii="Arial" w:cs="Arial" w:eastAsia="Arial" w:hAnsi="Arial"/>
                <w:sz w:val="17"/>
                <w:szCs w:val="17"/>
                <w:rtl/>
                <w:lang w:val="he-IL" w:bidi="he-IL"/>
              </w:rPr>
              <w:t xml:space="preserve">הכללה בסל: 01.02.2023</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 התרופה תינתן לטיפול באסתמה אאוזינופילית חמורה בחולים בני 12 שנים ומעלה העונים על כל אלה: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1. אסתמה בדרגת חומרה קשה (על פי הנחיות GINA) שאובחנה ע"י מומחה ברפואת ריאות או רופא מומחה באלרגיה ואימונולוגיה קלינית, המוגדרת לפי שימוש קבוע ב-ICS במינון גבוה (על פי הנחיות GINA) יחד עם תרופה שנייה, בדרך כלל LABA.</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2. עונים על אחד מאלה:</w:t>
            </w:r>
          </w:p>
          <w:p>
            <w:pPr>
              <w:bidi/>
              <w:spacing w:after="20"/>
              <w:jc w:val="right"/>
            </w:pPr>
            <w:r>
              <w:rPr>
                <w:rFonts w:ascii="Arial" w:cs="Arial" w:eastAsia="Arial" w:hAnsi="Arial"/>
                <w:sz w:val="17"/>
                <w:szCs w:val="17"/>
                <w:rtl/>
                <w:lang w:val="he-IL" w:bidi="he-IL"/>
              </w:rPr>
              <w:t xml:space="preserve">א. אאוזינופיליה בדם ברמה של 300 תאים פר מיקרוליטר ומעלה, בשתי בדיקות דם מהשנתיים האחרונות, אשר עונים על לפחות אחד מאלה:</w:t>
            </w:r>
          </w:p>
          <w:p>
            <w:pPr>
              <w:bidi/>
              <w:spacing w:after="20"/>
              <w:jc w:val="right"/>
            </w:pPr>
            <w:r>
              <w:rPr>
                <w:rFonts w:ascii="Arial" w:cs="Arial" w:eastAsia="Arial" w:hAnsi="Arial"/>
                <w:sz w:val="17"/>
                <w:szCs w:val="17"/>
                <w:rtl/>
                <w:lang w:val="he-IL" w:bidi="he-IL"/>
              </w:rPr>
              <w:t xml:space="preserve">1. שתי החמרות או יותר אשר לפחות אחת מהן הצריכה פניה למיון או אשפוז בשנה האחרונה עקב אסתמה לא מאוזנת.</w:t>
            </w:r>
          </w:p>
          <w:p>
            <w:pPr>
              <w:bidi/>
              <w:spacing w:after="20"/>
              <w:jc w:val="right"/>
            </w:pPr>
            <w:r>
              <w:rPr>
                <w:rFonts w:ascii="Arial" w:cs="Arial" w:eastAsia="Arial" w:hAnsi="Arial"/>
                <w:sz w:val="17"/>
                <w:szCs w:val="17"/>
                <w:rtl/>
                <w:lang w:val="he-IL" w:bidi="he-IL"/>
              </w:rPr>
              <w:t xml:space="preserve">2. שלוש החמרות או יותר בשנה האחרונה שנזקקו לטיפול בסטרואידים סיסטמיים במשך לפחות שלושה ימים.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3. חולי אסתמה הזקוקים לטיפול קבוע בקורטיקוסטרואידים במתן פומי למשך לפחות 50% מהזמן במטרה לשלוט במחלה.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אאוזינופיליה של 300 תאים למיקרוליטר ומטה בשנתיים האחרונות העונים על אחד מאלה:</w:t>
            </w:r>
          </w:p>
          <w:p>
            <w:pPr>
              <w:bidi/>
              <w:spacing w:after="20"/>
              <w:jc w:val="right"/>
            </w:pPr>
            <w:r>
              <w:rPr>
                <w:rFonts w:ascii="Arial" w:cs="Arial" w:eastAsia="Arial" w:hAnsi="Arial"/>
                <w:sz w:val="17"/>
                <w:szCs w:val="17"/>
                <w:rtl/>
                <w:lang w:val="he-IL" w:bidi="he-IL"/>
              </w:rPr>
              <w:t xml:space="preserve">1. שתי החמרות או יותר אשר לפחות אחת מהן הצריכה פניה למיון או אשפוז בשנה האחרונה עקב אסתמה לא מאוזנת.</w:t>
            </w:r>
          </w:p>
          <w:p>
            <w:pPr>
              <w:bidi/>
              <w:spacing w:after="20"/>
              <w:jc w:val="right"/>
            </w:pPr>
            <w:r>
              <w:rPr>
                <w:rFonts w:ascii="Arial" w:cs="Arial" w:eastAsia="Arial" w:hAnsi="Arial"/>
                <w:sz w:val="17"/>
                <w:szCs w:val="17"/>
                <w:rtl/>
                <w:lang w:val="he-IL" w:bidi="he-IL"/>
              </w:rPr>
              <w:t xml:space="preserve">2. שלוש החמרות או יותר בשנה האחרונה שנזקקו לטיפול בסטרואידים סיסטמיים במשך לפחות שלושה ימים.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הטיפול לא יינתן בשילוב עם Dupilumab או בשילוב עם Omalizumab או בשילוב עם תרופות ממשפחת מעכבי IL5.</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ג. הטיפול בתרופה האמורה ייעשה לפי מרשם של רופא מומחה ברפואת ריאות או רופא מומחה באלרגיה ואימונולוגיה קלינית.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Cinqair (Reslizumab 10 mg/ml) – anti-IL-5</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CINQAIR ®</w:t>
            </w:r>
          </w:p>
          <w:p>
            <w:pPr>
              <w:bidi/>
              <w:spacing w:after="20"/>
              <w:jc w:val="right"/>
            </w:pPr>
            <w:r>
              <w:rPr>
                <w:rFonts w:ascii="Arial" w:cs="Arial" w:eastAsia="Arial" w:hAnsi="Arial"/>
                <w:sz w:val="17"/>
                <w:szCs w:val="17"/>
                <w:rtl/>
                <w:lang w:val="he-IL" w:bidi="he-IL"/>
              </w:rPr>
              <w:t xml:space="preserve">רישום: 159 19 34975 00</w:t>
            </w:r>
          </w:p>
          <w:p>
            <w:pPr>
              <w:bidi/>
              <w:spacing w:after="20"/>
              <w:jc w:val="right"/>
            </w:pPr>
            <w:r>
              <w:rPr>
                <w:rFonts w:ascii="Arial" w:cs="Arial" w:eastAsia="Arial" w:hAnsi="Arial"/>
                <w:sz w:val="17"/>
                <w:szCs w:val="17"/>
                <w:rtl/>
                <w:lang w:val="he-IL" w:bidi="he-IL"/>
              </w:rPr>
              <w:t xml:space="preserve">הכללה בסל: 11.01.2018</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 התרופה תינתן לטיפול באסתמה אאוזינופילית חמורה בחולים בני 12 שנים ומעלה  העונים על כל אלה: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1. אסתמה בדרגת חומרה קשה (על פי הנחיות GINA) שאובחנה ע"י מומחה ברפואת ריאות או רופא מומחה באלרגיה ואימונולוגיה קלינית, המוגדרת לפי שימוש קבוע ב-ICS במינון גבוה (על פי הנחיות GINA) יחד עם תרופה שנייה, בדרך כלל LABA.</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2. עונים על אחד מאלה:</w:t>
            </w:r>
          </w:p>
          <w:p>
            <w:pPr>
              <w:bidi/>
              <w:spacing w:after="20"/>
              <w:jc w:val="right"/>
            </w:pPr>
            <w:r>
              <w:rPr>
                <w:rFonts w:ascii="Arial" w:cs="Arial" w:eastAsia="Arial" w:hAnsi="Arial"/>
                <w:sz w:val="17"/>
                <w:szCs w:val="17"/>
                <w:rtl/>
                <w:lang w:val="he-IL" w:bidi="he-IL"/>
              </w:rPr>
              <w:t xml:space="preserve">א.  אאוזינופיליה בדם ברמה של  400 תאים פר מיקרוליטר ומעלה בשתי בדיקות דם מהשנתיים האחרונות, אשר עונים על לפחות אחד מאלה:</w:t>
            </w:r>
          </w:p>
          <w:p>
            <w:pPr>
              <w:bidi/>
              <w:spacing w:after="20"/>
              <w:jc w:val="right"/>
            </w:pPr>
            <w:r>
              <w:rPr>
                <w:rFonts w:ascii="Arial" w:cs="Arial" w:eastAsia="Arial" w:hAnsi="Arial"/>
                <w:sz w:val="17"/>
                <w:szCs w:val="17"/>
                <w:rtl/>
                <w:lang w:val="he-IL" w:bidi="he-IL"/>
              </w:rPr>
              <w:t xml:space="preserve">1.  שתי החמרות או יותר אשר לפחות אחת מהן הצריכה פניה למיון או אשפוז בשנה האחרונה עקב אסתמה לא מאוזנת.</w:t>
            </w:r>
          </w:p>
          <w:p>
            <w:pPr>
              <w:bidi/>
              <w:spacing w:after="20"/>
              <w:jc w:val="right"/>
            </w:pPr>
            <w:r>
              <w:rPr>
                <w:rFonts w:ascii="Arial" w:cs="Arial" w:eastAsia="Arial" w:hAnsi="Arial"/>
                <w:sz w:val="17"/>
                <w:szCs w:val="17"/>
                <w:rtl/>
                <w:lang w:val="he-IL" w:bidi="he-IL"/>
              </w:rPr>
              <w:t xml:space="preserve">2.  שלוש החמרות או יותר בשנה האחרונה שנזקקו לטיפול בסטרואידים סיסטמיים במשך לפחות שלושה ימים.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3. חולי אסתמה הזקוקים לטיפול קבוע בקורטיקוסטרואידים במתן פומי למשך לפחות 50% מהזמן במטרה לשלוט במחלה.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אאוזינופיליה בדם ברמה של 400 תאים פר מיקרוליטר ומטה, בשתי בדיקות דם מהשנתיים האחרונות המטופלים באופן קבוע בקורטיקוסטרואידים במתן פומי (מינון קבוע תואם 5 מ"ג ומעלה פרדניזון ליום  או שימוש בקורטיקוסטרואידים במינון של מעל 5 מ"ג ומעלה פרדניזון ליום למשך לפחות ששה חודשים בשנה (לתקופה רציפה או לא רציפה שקדמה לתחילת הטיפול)) במטרה לשלוט במחלה.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הטיפול לא יינתן בשילוב עם Dupilumab או בשילוב עם Omalizumab.</w:t>
            </w:r>
          </w:p>
          <w:p>
            <w:pPr>
              <w:bidi/>
              <w:spacing w:after="20"/>
              <w:jc w:val="right"/>
            </w:pPr>
            <w:r>
              <w:rPr>
                <w:rFonts w:ascii="Arial" w:cs="Arial" w:eastAsia="Arial" w:hAnsi="Arial"/>
                <w:sz w:val="17"/>
                <w:szCs w:val="17"/>
                <w:rtl/>
                <w:lang w:val="he-IL" w:bidi="he-IL"/>
              </w:rPr>
              <w:t xml:space="preserve">ג. הטיפול בתרופות האמורות ייעשה לפי מרשם של רופא מומחה ברפואת ריאות או רופא מומחה באלרגיה ואימונולוגיה קלינית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Montelukast (Singulair וגנריים) 10 mg; 4/5 mg לילדים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MONTELUKAST - TRIMA 10 MG</w:t>
            </w:r>
          </w:p>
          <w:p>
            <w:pPr>
              <w:bidi/>
              <w:spacing w:after="20"/>
              <w:jc w:val="right"/>
            </w:pPr>
            <w:r>
              <w:rPr>
                <w:rFonts w:ascii="Arial" w:cs="Arial" w:eastAsia="Arial" w:hAnsi="Arial"/>
                <w:sz w:val="17"/>
                <w:szCs w:val="17"/>
                <w:rtl/>
                <w:lang w:val="he-IL" w:bidi="he-IL"/>
              </w:rPr>
              <w:t xml:space="preserve">רישום: 146 94 33396 00</w:t>
            </w:r>
          </w:p>
          <w:p>
            <w:pPr>
              <w:bidi/>
              <w:spacing w:after="20"/>
              <w:jc w:val="right"/>
            </w:pPr>
            <w:r>
              <w:rPr>
                <w:rFonts w:ascii="Arial" w:cs="Arial" w:eastAsia="Arial" w:hAnsi="Arial"/>
                <w:sz w:val="17"/>
                <w:szCs w:val="17"/>
                <w:rtl/>
                <w:lang w:val="he-IL" w:bidi="he-IL"/>
              </w:rPr>
              <w:t xml:space="preserve">הכללה בסל: 01.01.2000</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 התרופה האמורה תינתן לטיפול באסטמה קלה ובינונית ובהתקיים כל התנאים האלה: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א. למטופל מלאו שנתיים ומעלה.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המטופל משתמש בסטרואידים במתן פומי או בשאיפה.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2. התחלת הטיפול בתרופה תהיה על פי הוראתו של רופא מומחה ברפואת ריאות ילדים או מומחה באלרגיה.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3. הטיפול בתרופה האמורה ייפסק לאחר שלושה חודשי טיפול אם לא חל שיפור במצבו של המטופל כפי שייקבע על בסיס תפקודי ריאות או לאור הפסקת הטיפול בסטרואידים.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Daxas / Daliresp (Roflumilast 500 mcg; 250 mcg ב-4 השבועות הראשונים)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DALIRESP 500 MCG</w:t>
            </w:r>
          </w:p>
          <w:p>
            <w:pPr>
              <w:bidi/>
              <w:spacing w:after="20"/>
              <w:jc w:val="right"/>
            </w:pPr>
            <w:r>
              <w:rPr>
                <w:rFonts w:ascii="Arial" w:cs="Arial" w:eastAsia="Arial" w:hAnsi="Arial"/>
                <w:sz w:val="17"/>
                <w:szCs w:val="17"/>
                <w:rtl/>
                <w:lang w:val="he-IL" w:bidi="he-IL"/>
              </w:rPr>
              <w:t xml:space="preserve">(רישום מבוטל – נוסח היסטורי)</w:t>
            </w:r>
          </w:p>
          <w:p>
            <w:pPr>
              <w:bidi/>
              <w:spacing w:after="20"/>
              <w:jc w:val="right"/>
            </w:pPr>
            <w:r>
              <w:rPr>
                <w:rFonts w:ascii="Arial" w:cs="Arial" w:eastAsia="Arial" w:hAnsi="Arial"/>
                <w:sz w:val="17"/>
                <w:szCs w:val="17"/>
                <w:rtl/>
                <w:lang w:val="he-IL" w:bidi="he-IL"/>
              </w:rPr>
              <w:t xml:space="preserve">רישום: 148 80 33545 00</w:t>
            </w:r>
          </w:p>
          <w:p>
            <w:pPr>
              <w:bidi/>
              <w:spacing w:after="20"/>
              <w:jc w:val="right"/>
            </w:pPr>
            <w:r>
              <w:rPr>
                <w:rFonts w:ascii="Arial" w:cs="Arial" w:eastAsia="Arial" w:hAnsi="Arial"/>
                <w:sz w:val="17"/>
                <w:szCs w:val="17"/>
                <w:rtl/>
                <w:lang w:val="he-IL" w:bidi="he-IL"/>
              </w:rPr>
              <w:t xml:space="preserve">הכללה בסל: 12.01.2014</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 התרופה תינתן לטיפול במחלת ריאות חסימתית כרונית (COPD – Chronic obstructive pulmonary disease) בחולים עם FEV1 שווה ל-50% במצב כרוני או נמוך מ-50% במצב כרוני אשר חוו תחת טיפול שתי החמרות מתועדות לפחות במחלתם בשנה שקדמה לטיפול בתרופה האמורה.</w:t>
            </w:r>
          </w:p>
          <w:p>
            <w:pPr>
              <w:bidi/>
              <w:spacing w:after="20"/>
              <w:jc w:val="right"/>
            </w:pPr>
            <w:r>
              <w:rPr>
                <w:rFonts w:ascii="Arial" w:cs="Arial" w:eastAsia="Arial" w:hAnsi="Arial"/>
                <w:sz w:val="17"/>
                <w:szCs w:val="17"/>
                <w:rtl/>
                <w:lang w:val="he-IL" w:bidi="he-IL"/>
              </w:rPr>
              <w:t xml:space="preserve">ב.  תחילת הטיפול בתרופה תיעשה לפי מרשם של רופא מומחה ברפואת ריאות.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Ofev (Nintedanib 100/150 mg)</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OFEV 100 MG</w:t>
            </w:r>
          </w:p>
          <w:p>
            <w:pPr>
              <w:bidi/>
              <w:spacing w:after="20"/>
              <w:jc w:val="right"/>
            </w:pPr>
            <w:r>
              <w:rPr>
                <w:rFonts w:ascii="Arial" w:cs="Arial" w:eastAsia="Arial" w:hAnsi="Arial"/>
                <w:sz w:val="17"/>
                <w:szCs w:val="17"/>
                <w:rtl/>
                <w:lang w:val="he-IL" w:bidi="he-IL"/>
              </w:rPr>
              <w:t xml:space="preserve">רישום: 154 74 34335 00</w:t>
            </w:r>
          </w:p>
          <w:p>
            <w:pPr>
              <w:bidi/>
              <w:spacing w:after="20"/>
              <w:jc w:val="right"/>
            </w:pPr>
            <w:r>
              <w:rPr>
                <w:rFonts w:ascii="Arial" w:cs="Arial" w:eastAsia="Arial" w:hAnsi="Arial"/>
                <w:sz w:val="17"/>
                <w:szCs w:val="17"/>
                <w:rtl/>
                <w:lang w:val="he-IL" w:bidi="he-IL"/>
              </w:rPr>
              <w:t xml:space="preserve">הכללה בסל: 21.01.2016</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 Idiopathic pulmonary fibrosis (IPF) בדרגת חומרה קלה עד בינונית בהתאם להגדרות המפורטות להלן:</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א. אבחנה קלינית של פיברוזיס ריאתי אידיופתי (IPF) כולל שלילת גורמים אחרים למחלת ריאות אינטרסטיציאלית דומה (כגון מחלות קולגן, ארתריטיס ראומטואידית, מחלת ריאות הנגרמת ע"י תרופות, chronic hypersensitivity pneumonitis)</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אישור אבחנה רדיולוגי או פתולוגי – CT חזה מהשנה האחרונה (HRCT) או ביופסיה ריאתית אבחנתיים ל-IPF, כאשר לפחות אחד מאלה מתאים לתבנית של probable IPF.</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ג. הפרעה בתפקודי ריאות המתאימה למחלה בשלב קל עד בינוני (תפקודי ריאה מלאים שבוצעו בשלושת החודשים האחרונים – FVC בערך של 50% ומעלה מהחזוי וכן דיפוזיה DLCO בערך שבין 30-79% מהחזוי)</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ד. חולה אשר ערך תפקודי הריאה המלאים שבוצעו בשלושת החודשים האחרונים היה FVC בין50-79% ושנמצא מתאים לטיפול על פי הנחיות אלה יהיה זכאי לטיפול באחת משתי התרופות האמורות, כאשר בחירת הטיפול התרופתי תיעשה על פי החלטת הרופא המטפל.במהלך שלושת החודשים הראשונים לטיפול, במקרה והוחלט להפסיק שימוש בתרופה אחת, יתאפשר לחולה לקבל את התרופה האחרת.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 הטיפול בתרופות Nintedanib או Pirfenidone לא יינתן בשילוב של האחת עם השנייה.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2. מחלה ריאתית אינטרסטיציאלית (ILD) עם פנוטיפ פרוגרסיבי (chronic fibrosing interstitial lung diseases (ILDs) with a progressive phenotype) בחולים העונים על כל אלה: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א. הדגמת פיברוזיס ריאתי בהדמיית HRCT;</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אחד או יותר מהבאים: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1. התקדמות באחד או יותר מהמדדים הבאים, במהלך השנתיים האחרונות במהלך המעקב עד שנתיים אחורה: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א. ירידה יחסית ב FVC של לפחות 10%;</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ירידה יחסית של FVC בין 5-10% והחמרה של סימפטומים נשימתיים;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ג. ירידה יחסית של FVC בין 5-10% והתקדמות התהליך הפיברוטי הריאתי בהדמיית CT;</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ד. החמרה של סימפטומים נשימתיים והתקדמות התהליך הפיברוטי הריאתי בהדמיית CT.</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2. תפקודי נשימה FVC ≥ 45%P ו- DLCO בין 30-80% מהצפוי.</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3. מחלה ריאתית אינטרסטיציאלית (ILD) מסוג Systemic Sclerosis Associated Interstitial Lung Disease בחולים העונים על כל אלה: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א. הדגמת פיברוזיס ריאתי בהדמיית HRCT;</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תפקודי נשימה FVC≥40%P ו- DLCO בין 30-89% מהצפוי.</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הטיפול בתרופה לפי פסקת משנה א (1) ו-(2) ייעשה על פי מרשם של רופא מומחה ברפואת ריאות.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ג. הטיפול בתרופה לפי פסקת משנה א (3) ייעשה על פי מרשם של רופא מומחה ברפואת ריאות או מומחה בראומטולוגיה.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Pirfenidone (Esbriet וגנריים) 267/801 mg</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ESBRIET 267 MG</w:t>
            </w:r>
          </w:p>
          <w:p>
            <w:pPr>
              <w:bidi/>
              <w:spacing w:after="20"/>
              <w:jc w:val="right"/>
            </w:pPr>
            <w:r>
              <w:rPr>
                <w:rFonts w:ascii="Arial" w:cs="Arial" w:eastAsia="Arial" w:hAnsi="Arial"/>
                <w:sz w:val="17"/>
                <w:szCs w:val="17"/>
                <w:rtl/>
                <w:lang w:val="he-IL" w:bidi="he-IL"/>
              </w:rPr>
              <w:t xml:space="preserve">(רישום מבוטל – נוסח היסטורי)</w:t>
            </w:r>
          </w:p>
          <w:p>
            <w:pPr>
              <w:bidi/>
              <w:spacing w:after="20"/>
              <w:jc w:val="right"/>
            </w:pPr>
            <w:r>
              <w:rPr>
                <w:rFonts w:ascii="Arial" w:cs="Arial" w:eastAsia="Arial" w:hAnsi="Arial"/>
                <w:sz w:val="17"/>
                <w:szCs w:val="17"/>
                <w:rtl/>
                <w:lang w:val="he-IL" w:bidi="he-IL"/>
              </w:rPr>
              <w:t xml:space="preserve">רישום: 154 19 34236 00</w:t>
            </w:r>
          </w:p>
          <w:p>
            <w:pPr>
              <w:bidi/>
              <w:spacing w:after="20"/>
              <w:jc w:val="right"/>
            </w:pPr>
            <w:r>
              <w:rPr>
                <w:rFonts w:ascii="Arial" w:cs="Arial" w:eastAsia="Arial" w:hAnsi="Arial"/>
                <w:sz w:val="17"/>
                <w:szCs w:val="17"/>
                <w:rtl/>
                <w:lang w:val="he-IL" w:bidi="he-IL"/>
              </w:rPr>
              <w:t xml:space="preserve">הכללה בסל: 21.01.2016</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התרופות האמורות (Nindetanib, Pirfenidone) יינתנו לטיפול ב-Idiopathic pulmonary fibrosis (IPF) בדרגת חומרה קלה עד בינונית בהתאם להגדרות המפורטות להלן:</w:t>
            </w:r>
          </w:p>
          <w:p>
            <w:pPr>
              <w:bidi/>
              <w:spacing w:after="20"/>
              <w:jc w:val="right"/>
            </w:pPr>
            <w:r>
              <w:rPr>
                <w:rFonts w:ascii="Arial" w:cs="Arial" w:eastAsia="Arial" w:hAnsi="Arial"/>
                <w:sz w:val="17"/>
                <w:szCs w:val="17"/>
                <w:rtl/>
                <w:lang w:val="he-IL" w:bidi="he-IL"/>
              </w:rPr>
              <w:t xml:space="preserve">1. אבחנה קלינית של פיברוזיס ריאתי אידיופתי (IPF) כולל שלילת גורמים אחרים למחלת ריאות אינטרסטיציאלית דומה (כגון מחלות קולגן, ארתריטיס ראומטואידית, מחלת ריאות הנגרמת ע"י תרופות, chronic hypersensitivity pneumonitis)</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2. אישור אבחנה רדיולוגי או פתולוגי – CT  חזה מהשנה האחרונה (HRCT) או ביופסיה ריאתית אבחנתיים ל-IPF, כאשר לפחות אחד מאלה מתאים לתבנית של probable IPF.</w:t>
            </w:r>
          </w:p>
          <w:p>
            <w:pPr>
              <w:bidi/>
              <w:spacing w:after="20"/>
              <w:jc w:val="right"/>
            </w:pPr>
            <w:r>
              <w:rPr>
                <w:rFonts w:ascii="Arial" w:cs="Arial" w:eastAsia="Arial" w:hAnsi="Arial"/>
                <w:sz w:val="17"/>
                <w:szCs w:val="17"/>
                <w:rtl/>
                <w:lang w:val="he-IL" w:bidi="he-IL"/>
              </w:rPr>
              <w:t xml:space="preserve">3. הפרעה בתפקודי ריאות המתאימה למחלה בשלב קל עד בינוני (תפקודי ריאה מלאים שבוצעו בשלושת החודשים האחרונים – FVC בערך שבין 50-79% מהחזוי וכן דיפוזיה DLCO בערך שבין 30-79% מהחזוי)</w:t>
            </w:r>
          </w:p>
          <w:p>
            <w:pPr>
              <w:bidi/>
              <w:spacing w:after="20"/>
              <w:jc w:val="right"/>
            </w:pPr>
            <w:r>
              <w:rPr>
                <w:rFonts w:ascii="Arial" w:cs="Arial" w:eastAsia="Arial" w:hAnsi="Arial"/>
                <w:sz w:val="17"/>
                <w:szCs w:val="17"/>
                <w:rtl/>
                <w:lang w:val="he-IL" w:bidi="he-IL"/>
              </w:rPr>
              <w:t xml:space="preserve">4. החולה שנמצא מתאים לטיפול על פי הנחיות אלה יהיה זכאי לטיפול באחת משתי התרופות האמורות, כאשר בחירת הטיפול התרופתי תיעשה על פי החלטת הרופא המטפל.במהלך שלושת החודשים הראשונים לטיפול, במקרה והוחלט להפסיק שימוש בתרופה אחת, יתאפשר לחולה לקבל את התרופה האחרת.</w:t>
            </w:r>
          </w:p>
          <w:p>
            <w:pPr>
              <w:bidi/>
              <w:spacing w:after="20"/>
              <w:jc w:val="right"/>
            </w:pPr>
            <w:r>
              <w:rPr>
                <w:rFonts w:ascii="Arial" w:cs="Arial" w:eastAsia="Arial" w:hAnsi="Arial"/>
                <w:sz w:val="17"/>
                <w:szCs w:val="17"/>
                <w:rtl/>
                <w:lang w:val="he-IL" w:bidi="he-IL"/>
              </w:rPr>
              <w:t xml:space="preserve">5. הטיפול בתרופות האמורות לא יינתן בשילוב של האחת עם השנייה.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6. הטיפול בתרופה ייעשה על פי מרשם של רופא מומחה ברפואת ריאות.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Mycophenolate mofetil (CellCept 250/500 mg; Mycophenolate Teva 500 mg)</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CELLCEPT 250 MG</w:t>
            </w:r>
          </w:p>
          <w:p>
            <w:pPr>
              <w:bidi/>
              <w:spacing w:after="20"/>
              <w:jc w:val="right"/>
            </w:pPr>
            <w:r>
              <w:rPr>
                <w:rFonts w:ascii="Arial" w:cs="Arial" w:eastAsia="Arial" w:hAnsi="Arial"/>
                <w:sz w:val="17"/>
                <w:szCs w:val="17"/>
                <w:rtl/>
                <w:lang w:val="he-IL" w:bidi="he-IL"/>
              </w:rPr>
              <w:t xml:space="preserve">רישום: 111 34 29434 00</w:t>
            </w:r>
          </w:p>
          <w:p>
            <w:pPr>
              <w:bidi/>
              <w:spacing w:after="20"/>
              <w:jc w:val="right"/>
            </w:pPr>
            <w:r>
              <w:rPr>
                <w:rFonts w:ascii="Arial" w:cs="Arial" w:eastAsia="Arial" w:hAnsi="Arial"/>
                <w:sz w:val="17"/>
                <w:szCs w:val="17"/>
                <w:rtl/>
                <w:lang w:val="he-IL" w:bidi="he-IL"/>
              </w:rPr>
              <w:t xml:space="preserve">הכללה בסל: 09.03.1999</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 מושתלי כליה.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מושתלי כבד</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ג. מושתלי לב.</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ד. מושתלי ריאה.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 לופוס נפריטיס פעילה (מוכחת בביופסיה) בחולים לאחר כשלון טיפול בסטרואידים, בהם אין פגיעה במערכות חיוניות (כגון לב ומערכת העצבים המרכזית).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2. הטיפול בתרופה לגבי פסקת משנה 1(א) עד (ד) ייעשה לפי מרשם של רופא מומחה באימונולוגיה קלינית או רופא מומחה העוסק בתחום ההשתלות. (3) הטיפול בתרופה לגבי פסקת משנה 1(ה) ייעשה לפי מרשם של רופא מומחה בראומטולוגיה או רופא מומחה בנפרולוגיה.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Azathioprine (Imuran 25/50 mg)</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IMURAN TABLETS 25 MG</w:t>
            </w:r>
          </w:p>
          <w:p>
            <w:pPr>
              <w:bidi/>
              <w:spacing w:after="20"/>
              <w:jc w:val="right"/>
            </w:pPr>
            <w:r>
              <w:rPr>
                <w:rFonts w:ascii="Arial" w:cs="Arial" w:eastAsia="Arial" w:hAnsi="Arial"/>
                <w:sz w:val="17"/>
                <w:szCs w:val="17"/>
                <w:rtl/>
                <w:lang w:val="he-IL" w:bidi="he-IL"/>
              </w:rPr>
              <w:t xml:space="preserve">רישום: 034 79 25384 00</w:t>
            </w:r>
          </w:p>
          <w:p>
            <w:pPr>
              <w:bidi/>
              <w:spacing w:after="20"/>
              <w:jc w:val="right"/>
            </w:pPr>
            <w:r>
              <w:rPr>
                <w:rFonts w:ascii="Arial" w:cs="Arial" w:eastAsia="Arial" w:hAnsi="Arial"/>
                <w:sz w:val="17"/>
                <w:szCs w:val="17"/>
                <w:rtl/>
                <w:lang w:val="he-IL" w:bidi="he-IL"/>
              </w:rPr>
              <w:t xml:space="preserve">הכללה בסל: 01.01.1995</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 מושתלי כליה;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מושתלי ריאה;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ג. ארתריטיס ראומטואידית קשה שאינה מגיבה לטיפול אחר</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2. הטיפול בתרופה לגבי פסקת משנה 1(א) עד (ב) ייעשה לפי מרשם של רופא מומחה באימונולוגיה קלינית או רופא מומחה העוסק בתחום ההשתלות.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שאושרה לשימוש כללי בקופ'ח</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Bosentan (Tracleer וגנריים)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BOSENTAN TEVA ® 125 MG</w:t>
            </w:r>
          </w:p>
          <w:p>
            <w:pPr>
              <w:bidi/>
              <w:spacing w:after="20"/>
              <w:jc w:val="right"/>
            </w:pPr>
            <w:r>
              <w:rPr>
                <w:rFonts w:ascii="Arial" w:cs="Arial" w:eastAsia="Arial" w:hAnsi="Arial"/>
                <w:sz w:val="17"/>
                <w:szCs w:val="17"/>
                <w:rtl/>
                <w:lang w:val="he-IL" w:bidi="he-IL"/>
              </w:rPr>
              <w:t xml:space="preserve">רישום: 162 02 34906 00</w:t>
            </w:r>
          </w:p>
          <w:p>
            <w:pPr>
              <w:bidi/>
              <w:spacing w:after="20"/>
              <w:jc w:val="right"/>
            </w:pPr>
            <w:r>
              <w:rPr>
                <w:rFonts w:ascii="Arial" w:cs="Arial" w:eastAsia="Arial" w:hAnsi="Arial"/>
                <w:sz w:val="17"/>
                <w:szCs w:val="17"/>
                <w:rtl/>
                <w:lang w:val="he-IL" w:bidi="he-IL"/>
              </w:rPr>
              <w:t xml:space="preserve">הכללה בסל: 01.04.2004</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 יתר לחץ דם ריאתי, ובהתאם למפורט להלן:</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1. לטיפול בחולה המוגדר ב-NYHA (New York Heart Association) כ-Class III ומעלה הסובל מיתר לחץ דם ריאתי עורקי.</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2. התחלת הטיפול בתרופה האמורה תהיה על פי הוראתו של מנהל מחלקה בבית חולים שהוא רופא מומחה למחלות ריאה או רופא מומחה בקרדיולוגיה או רופא מומחה בטיפול נמרץ כללי או רופא מומחה בכירורגית כלי דם או רופא מומחה בקרדיולוגית ילדים או רופא מומחה במחלות ריאה ילדים או רופא מומחה בטיפול נמרץ ילדים או רופא מומחה בראומטולוגיה.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3. המשך הטיפול בתרופה האמורה ייעשה על פי מרשם של רופא מומחה למחלות ריאה או רופא מומחה בקרדיולוגיה או רופא מומחה בטיפול נמרץ כללי או רופא מומחה בכירורגית כלי דם או רופא מומחה בקרדיולוגית ילדים או רופא מומחה במחלות ריאה ילדים או רופא מומחה בטיפול נמרץ ילדים או רופא מומחה בראומטולוגיה.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4. ניתן להתחיל טיפול בתרופה האמורה במקרה בו התנגודת הריאתית המחושבת תישאר גבוהה אחרי טסט פרמקולוגי וזאת כאשר החולה סובל מ-NYHA Class III ומעלה ובעל מרחק הליכה ל-6 דקות הנמוך מ-400 מטרים ב-2 בדיקות עוקבות.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5. יש להימנע משילובי תרופות אלא לטפל בכל פעם בתרופה בודדת ורק עם כשלון בטיפול בה, לעבור לטיפול בתרופה אחרת, למעט המצבים הבאים: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א. בכישלון של טיפול ב-Sildenafil ניתן להוסיף במקרים נבחרים Iloprost באינהלציה או Selexipag או Bosentan או Ambrisentan או Macitentan.</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בכישלון של טיפול ב-Bosentan או Ambrisentan או Macitentan ניתן להוסיף במקרים נבחרים Iloprost באינהלציה או Selexipag או Sildenafilג. בכישלון של טיפול משולב ב- Bosentan או Ambrisentan או Macitentan עם Sildenafil או Tadalafil ניתן להוסיף במקרים נבחרים Selexipag.</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ד. השילוב של Epoprostenol או Treprostinil עם Ambrisentan או Macitentan או Bosentan או Sildenafil יעשה רק לאחר כישלון של אחד מהפרוסטציקלינים האמורים כטיפול בודד.</w:t>
            </w:r>
          </w:p>
          <w:p>
            <w:pPr>
              <w:bidi/>
              <w:spacing w:after="20"/>
              <w:jc w:val="right"/>
            </w:pPr>
            <w:r>
              <w:rPr>
                <w:rFonts w:ascii="Arial" w:cs="Arial" w:eastAsia="Arial" w:hAnsi="Arial"/>
                <w:sz w:val="17"/>
                <w:szCs w:val="17"/>
                <w:rtl/>
                <w:lang w:val="he-IL" w:bidi="he-IL"/>
              </w:rPr>
              <w:t xml:space="preserve">ה. השילוב של תרופה ממשפחת ה-Endothelin receptor antagonists (Ambrisentan או Macitentan או Bosentan) עם תרופה ממשפחת מעכבי PDE5 (Sildenafil או Tadalafil) יתאפשר כטיפול ראשוני (Upfront) עבור חולי יתר לחץ דם ריאתי עורקי, Group 1, שטרם קיבלו טיפול למחלתם.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לחולים עם טרשת סיסטמית (systemic sclerosis) ומחלה כיבית באצבעות, ובהתקיים כל אלה: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א. לאחר כשלון טיפולי ב-iloprost.</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הטיפול בתכשיר לא יינתן בשילוב עם iloprost.</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ג. תחילת הטיפול בתרופה תהיה על פי הוראתו של רופא מומחה בראומטולוגיה.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ד. הטיפול בתכשיר יינתן עד לשתי סדרות טיפוליות בשנה.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Ambrisentan (Volibris וגנריים)</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VOLIBRIS 10 MG</w:t>
            </w:r>
          </w:p>
          <w:p>
            <w:pPr>
              <w:bidi/>
              <w:spacing w:after="20"/>
              <w:jc w:val="right"/>
            </w:pPr>
            <w:r>
              <w:rPr>
                <w:rFonts w:ascii="Arial" w:cs="Arial" w:eastAsia="Arial" w:hAnsi="Arial"/>
                <w:sz w:val="17"/>
                <w:szCs w:val="17"/>
                <w:rtl/>
                <w:lang w:val="he-IL" w:bidi="he-IL"/>
              </w:rPr>
              <w:t xml:space="preserve">רישום: 140 09 31884 00</w:t>
            </w:r>
          </w:p>
          <w:p>
            <w:pPr>
              <w:bidi/>
              <w:spacing w:after="20"/>
              <w:jc w:val="right"/>
            </w:pPr>
            <w:r>
              <w:rPr>
                <w:rFonts w:ascii="Arial" w:cs="Arial" w:eastAsia="Arial" w:hAnsi="Arial"/>
                <w:sz w:val="17"/>
                <w:szCs w:val="17"/>
                <w:rtl/>
                <w:lang w:val="he-IL" w:bidi="he-IL"/>
              </w:rPr>
              <w:t xml:space="preserve">הכללה בסל: 01.01.2009</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 התרופה האמורה תינתן לטיפול בחולה המוגדר ב-NYHA (New York Heart Association) כ-Class III ומעלה הסובל מיתר לחץ דם ריאתי עורקי.</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2. התחלת הטיפול בתרופה האמורה תהיה על פי הוראתו של מנהל מחלקה בבית חולים שהוא רופא מומחה למחלות ריאה או רופא מומחה בקרדיולוגיה או רופא מומחה בטיפול נמרץ כללי או רופא מומחה בכירורגית כלי דם או רופא מומחה בקרדיולוגית ילדים או רופא מומחה במחלות ריאה ילדים או רופא מומחה בטיפול נמרץ ילדים או רופא מומחה בראומטולוגיה. 3 המשך הטיפול בתרופה האמורה ייעשה על פי מרשם של רופא מומחה למחלות ריאה או רופא מומחה בקרדיולוגיה או רופא מומחה בטיפול נמרץ כללי או רופא מומחה בכירורגית כלי דם או רופא מומחה בקרדיולוגית ילדים או רופא מומחה במחלות ריאה ילדים או רופא מומחה בטיפול נמרץ ילדים או רופא מומחה בראומטולוגיה.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4. ניתן להתחיל טיפול בתרופה האמורה במקרה בו התנגודת הריאתית המחושבת תישאר גבוהה אחרי טסט פרמקולוגי וזאת כאשר החולה סובל מ-NYHA Class III ומעלה ובעל מרחק הליכה ל-6 דקות הנמוך מ-400 מטרים ב-2 בדיקות עוקבות.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5. יש להימנע משילובי תרופות אלא לטפל בכל פעם בתרופה בודדת ורק עם כישלון בטיפול בה, לעבור לטיפול בתרופה אחרת, למעט המצבים הבאים: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5. יש להימנע משילובי תרופות אלא לטפל בכל פעם בתרופה בודדת ורק עם כישלון בטיפול בה, לעבור לטיפול בתרופה אחרת, למעט המצבים הבאים: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א. בכישלון של טיפול ב-Sildenafil ניתן להוסיף במקרים נבחרים Iloprost באינהלציה או Selexipag או Bosentan או Ambrisentan או Macitentan.</w:t>
            </w:r>
          </w:p>
          <w:p>
            <w:pPr>
              <w:bidi/>
              <w:spacing w:after="20"/>
              <w:jc w:val="right"/>
            </w:pPr>
            <w:r>
              <w:rPr>
                <w:rFonts w:ascii="Arial" w:cs="Arial" w:eastAsia="Arial" w:hAnsi="Arial"/>
                <w:sz w:val="17"/>
                <w:szCs w:val="17"/>
                <w:rtl/>
                <w:lang w:val="he-IL" w:bidi="he-IL"/>
              </w:rPr>
              <w:t xml:space="preserve">ב. בכישלון של טיפול ב-Bosentan  או  Ambrisentan או Macitentan  ניתן להוסיף במקרים נבחרים Iloprost באינהלציה או Selexipag או Sildenafilג. בכישלון של טיפול משולב ב- Bosentan  או  Ambrisentan או Macitentan  עם Sildenafil  או Tadalafil ניתן להוסיף במקרים נבחרים Selexipag.</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ד. השילוב של Epoprostenol או Treprostinil עם Ambrisentan או Macitentan או Bosentan או Sildenafil יעשה רק לאחר כישלון של אחד מהפרוסטציקלינים האמורים כטיפול בודד.</w:t>
            </w:r>
          </w:p>
          <w:p>
            <w:pPr>
              <w:bidi/>
              <w:spacing w:after="20"/>
              <w:jc w:val="right"/>
            </w:pPr>
            <w:r>
              <w:rPr>
                <w:rFonts w:ascii="Arial" w:cs="Arial" w:eastAsia="Arial" w:hAnsi="Arial"/>
                <w:sz w:val="17"/>
                <w:szCs w:val="17"/>
                <w:rtl/>
                <w:lang w:val="he-IL" w:bidi="he-IL"/>
              </w:rPr>
              <w:t xml:space="preserve">ה. השילוב של תרופה ממשפחת ה-Endothelin receptor antagonists (Ambrisentan או Macitentan או Bosentan) עם תרופה ממשפחת מעכבי PDE5 (Sildenafil או Tadalafil) יתאפשר כטיפול ראשוני (Upfront) עבור חולי יתר לחץ דם ריאתי עורקי, Group 1, שטרם קיבלו טיפול למחלתם.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Macitentan (Opsumit 10 mg)</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OPSUMIT ®</w:t>
            </w:r>
          </w:p>
          <w:p>
            <w:pPr>
              <w:bidi/>
              <w:spacing w:after="20"/>
              <w:jc w:val="right"/>
            </w:pPr>
            <w:r>
              <w:rPr>
                <w:rFonts w:ascii="Arial" w:cs="Arial" w:eastAsia="Arial" w:hAnsi="Arial"/>
                <w:sz w:val="17"/>
                <w:szCs w:val="17"/>
                <w:rtl/>
                <w:lang w:val="he-IL" w:bidi="he-IL"/>
              </w:rPr>
              <w:t xml:space="preserve">רישום: 152 72 34061 00</w:t>
            </w:r>
          </w:p>
          <w:p>
            <w:pPr>
              <w:bidi/>
              <w:spacing w:after="20"/>
              <w:jc w:val="right"/>
            </w:pPr>
            <w:r>
              <w:rPr>
                <w:rFonts w:ascii="Arial" w:cs="Arial" w:eastAsia="Arial" w:hAnsi="Arial"/>
                <w:sz w:val="17"/>
                <w:szCs w:val="17"/>
                <w:rtl/>
                <w:lang w:val="he-IL" w:bidi="he-IL"/>
              </w:rPr>
              <w:t xml:space="preserve">הכללה בסל: 15.01.2015</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 התרופה האמורה תינתן לטיפול בחולה המוגדר ב-NYHA (New York Heart Association) כ-Class III ומעלה הסובל מיתר לחץ דם ריאתי עורקי.</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התחלת הטיפול בתרופה האמורה תהיה על פי הוראתו של מנהל מחלקה בבית חולים שהוא מומחה למחלות ריאה או מומחה בקרדיולוגיה או מומחה בטיפול נמרץ כללי או מומחה בכירורגית כלי דם או מומחה בקרדיולוגית ילדים או מומחה במחלות ריאה ילדים או מומחה בטיפול נמרץ ילדים או מומחה בראומטולוגיה.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ג. המשך הטיפול בתרופה האמורה ייעשה על פי מרשם של מומחה למחלות ריאה או מומחה בקרדיולוגיה או מומחה בטיפול נמרץ כללי או מומחה בכירורגית כלי דם או מומחה בקרדיולוגית ילדים או מומחה במחלות ריאה ילדים או מומחה בטיפול נמרץ ילדים או מומחה בראומטולוגיה.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ד. ניתן להתחיל טיפול בתרופה האמורה במקרה בו התנגודת הריאתית המחושבת תישאר גבוהה אחרי טסט פרמקולוגי וזאת כאשר החולה סובל מ-NYHA Class III ומעלה ובעל מרחק הליכה ל-6 דקות הנמוך מ-400 מטרים ב-2 בדיקות עוקבות.</w:t>
            </w:r>
          </w:p>
          <w:p>
            <w:pPr>
              <w:bidi/>
              <w:spacing w:after="20"/>
              <w:jc w:val="right"/>
            </w:pPr>
            <w:r>
              <w:rPr>
                <w:rFonts w:ascii="Arial" w:cs="Arial" w:eastAsia="Arial" w:hAnsi="Arial"/>
                <w:sz w:val="17"/>
                <w:szCs w:val="17"/>
                <w:rtl/>
                <w:lang w:val="he-IL" w:bidi="he-IL"/>
              </w:rPr>
              <w:t xml:space="preserve">ה. יש להימנע משילובי תרופות אלא לטפל בכל פעם בתרופה בודדת ורק עם כישלון בטיפול בה, לעבור לטיפול בתרופה אחרת, למעט המצבים הבאים: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1. בכישלון של טיפול ב-Sildenafil ניתן להוסיף במקרים נבחרים Iloprost באינהלציה או Selexipag או Bosentan או Ambrisentan או Macitentan.</w:t>
            </w:r>
          </w:p>
          <w:p>
            <w:pPr>
              <w:bidi/>
              <w:spacing w:after="20"/>
              <w:jc w:val="right"/>
            </w:pPr>
            <w:r>
              <w:rPr>
                <w:rFonts w:ascii="Arial" w:cs="Arial" w:eastAsia="Arial" w:hAnsi="Arial"/>
                <w:sz w:val="17"/>
                <w:szCs w:val="17"/>
                <w:rtl/>
                <w:lang w:val="he-IL" w:bidi="he-IL"/>
              </w:rPr>
              <w:t xml:space="preserve">2. בכישלון של טיפול ב-Bosentan  או  Ambrisentan או Macitentan  ניתן להוסיף במקרים נבחרים Iloprost באינהלציה או Selexipag או Sildenafil3. בכישלון של טיפול משולב ב- Bosentan  או  Ambrisentan או Macitentan  עם Sildenafil  או Tadalafil ניתן להוסיף במקרים נבחרים Selexipag.</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4. השילוב של Epoprostenol או Treprostinil עם Ambrisentan או Macitentan או Bosentan או Sildenafil יעשה רק לאחר כישלון של אחד מהפרוסטציקלינים האמורים כטיפול בודד.</w:t>
            </w:r>
          </w:p>
          <w:p>
            <w:pPr>
              <w:bidi/>
              <w:spacing w:after="20"/>
              <w:jc w:val="right"/>
            </w:pPr>
            <w:r>
              <w:rPr>
                <w:rFonts w:ascii="Arial" w:cs="Arial" w:eastAsia="Arial" w:hAnsi="Arial"/>
                <w:sz w:val="17"/>
                <w:szCs w:val="17"/>
                <w:rtl/>
                <w:lang w:val="he-IL" w:bidi="he-IL"/>
              </w:rPr>
              <w:t xml:space="preserve">5. השילוב של תרופה ממשפחת ה-Endothelin receptor antagonists (Ambrisentan או Macitentan או Bosentan) עם תרופה ממשפחת מעכבי PDE5 (Sildenafil או Tadalafil) יתאפשר כטיפול ראשוני (Upfront) עבור חולי יתר לחץ דם ריאתי עורקי, Group 1, שטרם קיבלו טיפול למחלתם.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Sildenafil (Revatio וגנריים) 20 mg</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REVATIO</w:t>
            </w:r>
          </w:p>
          <w:p>
            <w:pPr>
              <w:bidi/>
              <w:spacing w:after="20"/>
              <w:jc w:val="right"/>
            </w:pPr>
            <w:r>
              <w:rPr>
                <w:rFonts w:ascii="Arial" w:cs="Arial" w:eastAsia="Arial" w:hAnsi="Arial"/>
                <w:sz w:val="17"/>
                <w:szCs w:val="17"/>
                <w:rtl/>
                <w:lang w:val="he-IL" w:bidi="he-IL"/>
              </w:rPr>
              <w:t xml:space="preserve">רישום: 135 61 31377 00</w:t>
            </w:r>
          </w:p>
          <w:p>
            <w:pPr>
              <w:bidi/>
              <w:spacing w:after="20"/>
              <w:jc w:val="right"/>
            </w:pPr>
            <w:r>
              <w:rPr>
                <w:rFonts w:ascii="Arial" w:cs="Arial" w:eastAsia="Arial" w:hAnsi="Arial"/>
                <w:sz w:val="17"/>
                <w:szCs w:val="17"/>
                <w:rtl/>
                <w:lang w:val="he-IL" w:bidi="he-IL"/>
              </w:rPr>
              <w:t xml:space="preserve">הכללה בסל: 20.09.2006</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 התרופה האמורה תינתן לטיפול בחולה המוגדר ב-NYHA (New York Heart Association) כ-Class III ומעלה הסובל מיתר לחץ דם ריאתי עורקי.</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התחלת הטיפול בתרופה האמורה תהיה על פי הוראתו של מנהל מחלקה בבית חולים שהוא מומחה למחלות ריאה או מומחה בקרדיולוגיה או מומחה בטיפול נמרץ כללי או מומחה בכירורגית כלי דם או מומחה בקרדיולוגית ילדים או מומחה במחלות ריאה ילדים או מומחה בטיפול נמרץ ילדים או מומחה בראומטולוגיה.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ג. משך הטיפול בתרופה האמורה ייעשה על פי מרשם של מומחה למחלות ריאה או מומחה בקרדיולוגיה או מומחה בטיפול נמרץ כללי או מומחה בכירורגית כלי דם או מומחה בקרדיולוגית ילדים או מומחה במחלות ריאה ילדים או מומחה בטיפול נמרץ ילדים או מומחה בראומטולוגיה.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ד. ניתן להתחיל טיפול בתרופה האמורה במקרה בו התנגודת הריאתית המחושבת תישאר גבוהה אחרי טסט פרמקולוגי וזאת כאשר החולה סובל מ-NYHA Class III ומעלה ובעל מרחק הליכה ל-6 דקות הנמוך מ-400 מטרים ב-2 בדיקות עוקבות.</w:t>
            </w:r>
          </w:p>
          <w:p>
            <w:pPr>
              <w:bidi/>
              <w:spacing w:after="20"/>
              <w:jc w:val="right"/>
            </w:pPr>
            <w:r>
              <w:rPr>
                <w:rFonts w:ascii="Arial" w:cs="Arial" w:eastAsia="Arial" w:hAnsi="Arial"/>
                <w:sz w:val="17"/>
                <w:szCs w:val="17"/>
                <w:rtl/>
                <w:lang w:val="he-IL" w:bidi="he-IL"/>
              </w:rPr>
              <w:t xml:space="preserve">ה. יש להימנע משילובי תרופות אלא לטפל בכל פעם בתרופה בודדת ורק עם כישלון בטיפול בה, לעבור לטיפול בתרופה אחרת, למעט המצבים הבאים: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1. בכישלון של טיפול ב-Sildenafil ניתן להוסיף במקרים נבחרים Iloprost באינהלציה או Selexipag או Bosentan או Ambrisentan או Macitentan.</w:t>
            </w:r>
          </w:p>
          <w:p>
            <w:pPr>
              <w:bidi/>
              <w:spacing w:after="20"/>
              <w:jc w:val="right"/>
            </w:pPr>
            <w:r>
              <w:rPr>
                <w:rFonts w:ascii="Arial" w:cs="Arial" w:eastAsia="Arial" w:hAnsi="Arial"/>
                <w:sz w:val="17"/>
                <w:szCs w:val="17"/>
                <w:rtl/>
                <w:lang w:val="he-IL" w:bidi="he-IL"/>
              </w:rPr>
              <w:t xml:space="preserve">2. בכישלון של טיפול ב-Bosentan  או  Ambrisentan או Macitentan  ניתן להוסיף במקרים נבחרים Iloprost באינהלציה או Selexipag או Sildenafil3. בכישלון של טיפול משולב ב- Bosentan  או  Ambrisentan או Macitentan  עם Sildenafil  או Tadalafil ניתן להוסיף במקרים נבחרים Selexipag.</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4. השילוב של Epoprostenol או Treprostinil עם Ambrisentan או Macitentan או Bosentan או Sildenafil יעשה רק לאחר כישלון של אחד מהפרוסטציקלינים האמורים כטיפול בודד.</w:t>
            </w:r>
          </w:p>
          <w:p>
            <w:pPr>
              <w:bidi/>
              <w:spacing w:after="20"/>
              <w:jc w:val="right"/>
            </w:pPr>
            <w:r>
              <w:rPr>
                <w:rFonts w:ascii="Arial" w:cs="Arial" w:eastAsia="Arial" w:hAnsi="Arial"/>
                <w:sz w:val="17"/>
                <w:szCs w:val="17"/>
                <w:rtl/>
                <w:lang w:val="he-IL" w:bidi="he-IL"/>
              </w:rPr>
              <w:t xml:space="preserve">5. השילוב של תרופה ממשפחת ה-Endothelin receptor antagonists (Ambrisentan או Macitentan או Bosentan) עם תרופה ממשפחת מעכבי PDE5 (Sildenafil או Tadalafil) יתאפשר כטיפול ראשוני (Upfront) עבור חולי יתר לחץ דם ריאתי עורקי, Group 1, שטרם קיבלו טיפול למחלתם.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Sildenafil (Revatio וגנריים) 20 mg</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SILDENAFIL TEVA ® 100 MG</w:t>
            </w:r>
          </w:p>
          <w:p>
            <w:pPr>
              <w:bidi/>
              <w:spacing w:after="20"/>
              <w:jc w:val="right"/>
            </w:pPr>
            <w:r>
              <w:rPr>
                <w:rFonts w:ascii="Arial" w:cs="Arial" w:eastAsia="Arial" w:hAnsi="Arial"/>
                <w:sz w:val="17"/>
                <w:szCs w:val="17"/>
                <w:rtl/>
                <w:lang w:val="he-IL" w:bidi="he-IL"/>
              </w:rPr>
              <w:t xml:space="preserve">רישום: 147 86 33474 01</w:t>
            </w:r>
          </w:p>
          <w:p>
            <w:pPr>
              <w:bidi/>
              <w:spacing w:after="20"/>
              <w:jc w:val="right"/>
            </w:pPr>
            <w:r>
              <w:rPr>
                <w:rFonts w:ascii="Arial" w:cs="Arial" w:eastAsia="Arial" w:hAnsi="Arial"/>
                <w:sz w:val="17"/>
                <w:szCs w:val="17"/>
                <w:rtl/>
                <w:lang w:val="he-IL" w:bidi="he-IL"/>
              </w:rPr>
              <w:t xml:space="preserve">הכללה בסל: 15.01.2015</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התרופה האמורה תינתן לטיפול באין אונות בהשתתפות עצמית של עד 100%.לעניין התכשירים Sildenafil, Tadalafil, Vardenafil לטיפול באין אונות הקופה תהיה רשאית לגבות השתתפות עצמית עד 100% מהמחיר המרבי לצרכן, והשתתפות עצמית זו לא תיכלל בחישוב התקרה לחולים כרוניים.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Tadalafil 20 mg</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TADALIS TEVA ® 20 MG</w:t>
            </w:r>
          </w:p>
          <w:p>
            <w:pPr>
              <w:bidi/>
              <w:spacing w:after="20"/>
              <w:jc w:val="right"/>
            </w:pPr>
            <w:r>
              <w:rPr>
                <w:rFonts w:ascii="Arial" w:cs="Arial" w:eastAsia="Arial" w:hAnsi="Arial"/>
                <w:sz w:val="17"/>
                <w:szCs w:val="17"/>
                <w:rtl/>
                <w:lang w:val="he-IL" w:bidi="he-IL"/>
              </w:rPr>
              <w:t xml:space="preserve">רישום: 154 90 34233 00</w:t>
            </w:r>
          </w:p>
          <w:p>
            <w:pPr>
              <w:bidi/>
              <w:spacing w:after="20"/>
              <w:jc w:val="right"/>
            </w:pPr>
            <w:r>
              <w:rPr>
                <w:rFonts w:ascii="Arial" w:cs="Arial" w:eastAsia="Arial" w:hAnsi="Arial"/>
                <w:sz w:val="17"/>
                <w:szCs w:val="17"/>
                <w:rtl/>
                <w:lang w:val="he-IL" w:bidi="he-IL"/>
              </w:rPr>
              <w:t xml:space="preserve">הכללה בסל: 15.01.2015</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התרופה האמורה תינתן לטיפול באין אונות בהשתתפות עצמית של עד 100%.לעניין התכשירים Sildenafil, Tadalafil, Vardenafil לטיפול באין אונות הקופה תהיה רשאית לגבות השתתפות עצמית עד 100% מהמחיר המרבי לצרכן, והשתתפות עצמית זו לא תיכלל בחישוב התקרה לחולים כרוניים.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Riociguat (Adempas 0.5–2.5 mg)</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ADEMPAS 0.5MG</w:t>
            </w:r>
          </w:p>
          <w:p>
            <w:pPr>
              <w:bidi/>
              <w:spacing w:after="20"/>
              <w:jc w:val="right"/>
            </w:pPr>
            <w:r>
              <w:rPr>
                <w:rFonts w:ascii="Arial" w:cs="Arial" w:eastAsia="Arial" w:hAnsi="Arial"/>
                <w:sz w:val="17"/>
                <w:szCs w:val="17"/>
                <w:rtl/>
                <w:lang w:val="he-IL" w:bidi="he-IL"/>
              </w:rPr>
              <w:t xml:space="preserve">רישום: 153 76 34132 00</w:t>
            </w:r>
          </w:p>
          <w:p>
            <w:pPr>
              <w:bidi/>
              <w:spacing w:after="20"/>
              <w:jc w:val="right"/>
            </w:pPr>
            <w:r>
              <w:rPr>
                <w:rFonts w:ascii="Arial" w:cs="Arial" w:eastAsia="Arial" w:hAnsi="Arial"/>
                <w:sz w:val="17"/>
                <w:szCs w:val="17"/>
                <w:rtl/>
                <w:lang w:val="he-IL" w:bidi="he-IL"/>
              </w:rPr>
              <w:t xml:space="preserve">הכללה בסל: 11.01.2018</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 יתר לחץ דם ריאתי כרוני תרומבואמבולי - CTEPH (Chronic Thromboembolic Pulmonary Hypertension) בחולים בדרגת תפקוד II או III לפי ה-WHO, שמחלתם אינה מתאימה לטיפול באמצעות התערבות כירורגית או שמחלתם לא הגיבה או חזרה לאחר ההתערבות הכירורגית.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2. טיפול בחולה עם יתר לחץ דם ריאתי עורקי (PAH) בדרגת תפקוד II או III לפי ה-WHO, בסיכון בינוני-נמוך, שמיצה טיפול משולב בתרופות ממשפחת האנטגוניסטים לרצפטור לאנדותלין ומעכבי פוספודיאסטראז 5.</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מתן התרופה האמורה ייעשה לפי מרשם של רופא מומחה בקרדיולוגיה או רופא מומחה בקרדיולוגיה ילדים או רופא מומחה ברפואת ריאות או רופא מומחה ברפואת ריאות ילדים.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Selexipag (Uptravi 200–1600 mcg)</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UPTRAVI ® 1000 microgram</w:t>
            </w:r>
          </w:p>
          <w:p>
            <w:pPr>
              <w:bidi/>
              <w:spacing w:after="20"/>
              <w:jc w:val="right"/>
            </w:pPr>
            <w:r>
              <w:rPr>
                <w:rFonts w:ascii="Arial" w:cs="Arial" w:eastAsia="Arial" w:hAnsi="Arial"/>
                <w:sz w:val="17"/>
                <w:szCs w:val="17"/>
                <w:rtl/>
                <w:lang w:val="he-IL" w:bidi="he-IL"/>
              </w:rPr>
              <w:t xml:space="preserve">רישום: 158 11 34942 00</w:t>
            </w:r>
          </w:p>
          <w:p>
            <w:pPr>
              <w:bidi/>
              <w:spacing w:after="20"/>
              <w:jc w:val="right"/>
            </w:pPr>
            <w:r>
              <w:rPr>
                <w:rFonts w:ascii="Arial" w:cs="Arial" w:eastAsia="Arial" w:hAnsi="Arial"/>
                <w:sz w:val="17"/>
                <w:szCs w:val="17"/>
                <w:rtl/>
                <w:lang w:val="he-IL" w:bidi="he-IL"/>
              </w:rPr>
              <w:t xml:space="preserve">הכללה בסל: 12.01.2017</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 התרופה האמורה תינתן לטיפול בחולה המוגדר ב-NYHA (New York Heart Association) כ-Class III ומעלה הסובל מיתר לחץ דם ריאתי עורקי Group I אשר למרות טיפול עם תרופות ממשפחת ה-Endothelin receptor antagonists ו/או ממשפחת PDE-5 עדיין נמצאים ברמה תפקודית 3.</w:t>
            </w:r>
          </w:p>
          <w:p>
            <w:pPr>
              <w:bidi/>
              <w:spacing w:after="20"/>
              <w:jc w:val="right"/>
            </w:pPr>
            <w:r>
              <w:rPr>
                <w:rFonts w:ascii="Arial" w:cs="Arial" w:eastAsia="Arial" w:hAnsi="Arial"/>
                <w:sz w:val="17"/>
                <w:szCs w:val="17"/>
                <w:rtl/>
                <w:lang w:val="he-IL" w:bidi="he-IL"/>
              </w:rPr>
              <w:t xml:space="preserve">ב. התחלת הטיפול בתרופה האמורה תהיה על פי הוראתו של מנהל מחלקה בבית חולים שהוא מומחה למחלות ריאה או מומחה בקרדיולוגיה או מומחה בטיפול נמרץ כללי או מומחה בכירורגית כלי דם או מומחה בקרדיולוגית ילדים או מומחה במחלות ריאה ילדים או מומחה בטיפול נמרץ ילדים או מומחה בראומטולוגיה.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ג. המשך הטיפול בתרופה האמורה ייעשה על פי מרשם של מומחה למחלות ריאה או מומחה בקרדיולוגיה או מומחה בטיפול נמרץ כללי או מומחה בכירורגית כלי דם או מומחה בקרדיולוגית ילדים או מומחה במחלות ריאה ילדים או מומחה בטיפול נמרץ ילדים או מומחה בראומטולוגיה.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ד. ניתן להתחיל טיפול בתרופה האמורה במקרה בו התנגודת הריאתית המחושבת תישאר גבוהה אחרי טסט פרמקולוגי וזאת כאשר החולה סובל מ-NYHA Class III ומעלה ובעל מרחק הליכה ל-6 דקות הנמוך מ-400 מטרים ב-2 בדיקות עוקבות.</w:t>
            </w:r>
          </w:p>
          <w:p>
            <w:pPr>
              <w:bidi/>
              <w:spacing w:after="20"/>
              <w:jc w:val="right"/>
            </w:pPr>
            <w:r>
              <w:rPr>
                <w:rFonts w:ascii="Arial" w:cs="Arial" w:eastAsia="Arial" w:hAnsi="Arial"/>
                <w:sz w:val="17"/>
                <w:szCs w:val="17"/>
                <w:rtl/>
                <w:lang w:val="he-IL" w:bidi="he-IL"/>
              </w:rPr>
              <w:t xml:space="preserve">ה. יש להימנע משילובי תרופות אלא לטפל בכל פעם בתרופה בודדת ורק עם כישלון בטיפול בה, לעבור לטיפול בתרופה אחרת, למעט המצבים הבאים: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1. בכישלון של טיפול ב-Sildenafil ניתן להוסיף במקרים נבחרים Iloprost באינהלציה או Selexipag או Bosentan או Ambrisentan או Macitentan.</w:t>
            </w:r>
          </w:p>
          <w:p>
            <w:pPr>
              <w:bidi/>
              <w:spacing w:after="20"/>
              <w:jc w:val="right"/>
            </w:pPr>
            <w:r>
              <w:rPr>
                <w:rFonts w:ascii="Arial" w:cs="Arial" w:eastAsia="Arial" w:hAnsi="Arial"/>
                <w:sz w:val="17"/>
                <w:szCs w:val="17"/>
                <w:rtl/>
                <w:lang w:val="he-IL" w:bidi="he-IL"/>
              </w:rPr>
              <w:t xml:space="preserve">2. בכישלון של טיפול ב-Bosentan  או  Ambrisentan או Macitentan  ניתן להוסיף במקרים נבחרים Iloprost באינהלציה או Selexipag או Sildenafil</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Iloprost לאינהלציה (Ventavis)</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VENTAVIS</w:t>
            </w:r>
          </w:p>
          <w:p>
            <w:pPr>
              <w:bidi/>
              <w:spacing w:after="20"/>
              <w:jc w:val="right"/>
            </w:pPr>
            <w:r>
              <w:rPr>
                <w:rFonts w:ascii="Arial" w:cs="Arial" w:eastAsia="Arial" w:hAnsi="Arial"/>
                <w:sz w:val="17"/>
                <w:szCs w:val="17"/>
                <w:rtl/>
                <w:lang w:val="he-IL" w:bidi="he-IL"/>
              </w:rPr>
              <w:t xml:space="preserve">רישום: 133 14 31070 00</w:t>
            </w:r>
          </w:p>
          <w:p>
            <w:pPr>
              <w:bidi/>
              <w:spacing w:after="20"/>
              <w:jc w:val="right"/>
            </w:pPr>
            <w:r>
              <w:rPr>
                <w:rFonts w:ascii="Arial" w:cs="Arial" w:eastAsia="Arial" w:hAnsi="Arial"/>
                <w:sz w:val="17"/>
                <w:szCs w:val="17"/>
                <w:rtl/>
                <w:lang w:val="he-IL" w:bidi="he-IL"/>
              </w:rPr>
              <w:t xml:space="preserve">הכללה בסל: 20.09.2006</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 התרופה האמורה תינתן לטיפול בחולה המוגדר ב-NYHA (New York Heart Association) כ-Class III ומעלה הסובל מיתר לחץ דם ריאתי עורקי.</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2. התחלת הטיפול בתרופה האמורה תהיה על פי הוראתו של מנהל מחלקה בבית חולים שהוא רופא מומחה למחלות ריאה או רופא מומחה בקרדיולוגיה או רופא מומחה בטיפול נמרץ כללי או רופא מומחה בכירורגית כלי דם או רופא מומחה בקרדיולוגית ילדים או רופא מומחה במחלות ריאה ילדים או רופא מומחה בטיפול נמרץ ילדים או רופא מומחה בראומטולוגיה.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3. המשך הטיפול בתרופה האמורה ייעשה על פי מרשם של רופא מומחה למחלות ריאה או רופא מומחה בקרדיולוגיה או רופא מומחה בטיפול נמרץ כללי או רופא מומחה בכירורגית כלי דם או רופא מומחה בקרדיולוגית ילדים או רופא מומחה במחלות ריאה ילדים או רופא מומחה בטיפול נמרץ ילדים או רופא מומחה בראומטולוגיה.</w:t>
            </w:r>
          </w:p>
          <w:p>
            <w:pPr>
              <w:bidi/>
              <w:spacing w:after="20"/>
              <w:jc w:val="right"/>
            </w:pPr>
            <w:r>
              <w:rPr>
                <w:rFonts w:ascii="Arial" w:cs="Arial" w:eastAsia="Arial" w:hAnsi="Arial"/>
                <w:sz w:val="17"/>
                <w:szCs w:val="17"/>
                <w:rtl/>
                <w:lang w:val="he-IL" w:bidi="he-IL"/>
              </w:rPr>
              <w:t xml:space="preserve">4. ניתן להתחיל טיפול בתרופה האמורה במקרה בו התנגודת הריאתית המחושבת תישאר גבוהה אחרי טסט פרמקולוגי וזאת כאשר החולה סובל מ-NYHA Class III ומעלה ובעל מרחק הליכה ל-6 דקות הנמוך מ-400 מטרים ב-2 בדיקות עוקבות.</w:t>
            </w:r>
          </w:p>
          <w:p>
            <w:pPr>
              <w:bidi/>
              <w:spacing w:after="20"/>
              <w:jc w:val="right"/>
            </w:pPr>
            <w:r>
              <w:rPr>
                <w:rFonts w:ascii="Arial" w:cs="Arial" w:eastAsia="Arial" w:hAnsi="Arial"/>
                <w:sz w:val="17"/>
                <w:szCs w:val="17"/>
                <w:rtl/>
                <w:lang w:val="he-IL" w:bidi="he-IL"/>
              </w:rPr>
              <w:t xml:space="preserve">5. יש להימנע משילובי תרופות אלא לטפל בכל פעם בתרופה בודדת ורק עם כשלון בטיפול בה, לעבור לטיפול בתרופה אחרת, למעט המצבים הבאים: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א.  בכישלון של טיפול ב-Sildenafil ניתן להוסיף במקרים נבחרים Iloprost באינהלציה או Bosentan או Ambrisentan או Macitentan.</w:t>
            </w:r>
          </w:p>
          <w:p>
            <w:pPr>
              <w:bidi/>
              <w:spacing w:after="20"/>
              <w:jc w:val="right"/>
            </w:pPr>
            <w:r>
              <w:rPr>
                <w:rFonts w:ascii="Arial" w:cs="Arial" w:eastAsia="Arial" w:hAnsi="Arial"/>
                <w:sz w:val="17"/>
                <w:szCs w:val="17"/>
                <w:rtl/>
                <w:lang w:val="he-IL" w:bidi="he-IL"/>
              </w:rPr>
              <w:t xml:space="preserve">ב.  בכישלון של טיפול ב-Bosentan  או  Ambrisentan או Macitentan  ניתן להוסיף במקרים נבחרים Iloprost באינהלציה או Sildenafilג.  השילוב של Epoprostenol או Treprostinil עם Ambrisentan או Macitentan או Bosentan או Sildenafil יעשה רק לאחר כשלון של אחד מהפרוסטציקלינים האמורים כטיפול בודד.</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Treprostinil (Remodulin) ת"ע/תוך-ורידי; Epoprostenol (Flolan/Veletri) תוך-ורידי</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FLOLAN INFUSION OF EPOPROSTENOL 1500 MCG</w:t>
            </w:r>
          </w:p>
          <w:p>
            <w:pPr>
              <w:bidi/>
              <w:spacing w:after="20"/>
              <w:jc w:val="right"/>
            </w:pPr>
            <w:r>
              <w:rPr>
                <w:rFonts w:ascii="Arial" w:cs="Arial" w:eastAsia="Arial" w:hAnsi="Arial"/>
                <w:sz w:val="17"/>
                <w:szCs w:val="17"/>
                <w:rtl/>
                <w:lang w:val="he-IL" w:bidi="he-IL"/>
              </w:rPr>
              <w:t xml:space="preserve">רישום: 112 41 29467 05</w:t>
            </w:r>
          </w:p>
          <w:p>
            <w:pPr>
              <w:bidi/>
              <w:spacing w:after="20"/>
              <w:jc w:val="right"/>
            </w:pPr>
            <w:r>
              <w:rPr>
                <w:rFonts w:ascii="Arial" w:cs="Arial" w:eastAsia="Arial" w:hAnsi="Arial"/>
                <w:sz w:val="17"/>
                <w:szCs w:val="17"/>
                <w:rtl/>
                <w:lang w:val="he-IL" w:bidi="he-IL"/>
              </w:rPr>
              <w:t xml:space="preserve">הכללה בסל: 09.03.1999</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 הטיפול בתרופה האמורה יינתן בכל אחד ממקרים אלה:</w:t>
            </w:r>
          </w:p>
          <w:p>
            <w:pPr>
              <w:bidi/>
              <w:spacing w:after="20"/>
              <w:jc w:val="right"/>
            </w:pPr>
            <w:r>
              <w:rPr>
                <w:rFonts w:ascii="Arial" w:cs="Arial" w:eastAsia="Arial" w:hAnsi="Arial"/>
                <w:sz w:val="17"/>
                <w:szCs w:val="17"/>
                <w:rtl/>
                <w:lang w:val="he-IL" w:bidi="he-IL"/>
              </w:rPr>
              <w:t xml:space="preserve">א. טיפול בחולי יתר לחץ דם ריאתי ראשוני עורקי המוגדרים ב-NYHA (New York Heart Association) כ-Class III ו-Class IV.</w:t>
            </w:r>
          </w:p>
          <w:p>
            <w:pPr>
              <w:bidi/>
              <w:spacing w:after="20"/>
              <w:jc w:val="right"/>
            </w:pPr>
            <w:r>
              <w:rPr>
                <w:rFonts w:ascii="Arial" w:cs="Arial" w:eastAsia="Arial" w:hAnsi="Arial"/>
                <w:sz w:val="17"/>
                <w:szCs w:val="17"/>
                <w:rtl/>
                <w:lang w:val="he-IL" w:bidi="he-IL"/>
              </w:rPr>
              <w:t xml:space="preserve">ב. טיפול תוך ורידי ארוך טווח ביתר לחץ ריאתי משני עורקי הקשור באחת ממחלות הסקלרודרמה בחולים המוגדרים ב-NYHA כ-Class III ו-Class IV שלא הגיבו לטיפול קונבנציונלי.</w:t>
            </w:r>
          </w:p>
          <w:p>
            <w:pPr>
              <w:bidi/>
              <w:spacing w:after="20"/>
              <w:jc w:val="right"/>
            </w:pPr>
            <w:r>
              <w:rPr>
                <w:rFonts w:ascii="Arial" w:cs="Arial" w:eastAsia="Arial" w:hAnsi="Arial"/>
                <w:sz w:val="17"/>
                <w:szCs w:val="17"/>
                <w:rtl/>
                <w:lang w:val="he-IL" w:bidi="he-IL"/>
              </w:rPr>
              <w:t xml:space="preserve">2. התחלת הטיפול בתרופה האמורה תהיה על פי הוראתו של מנהל מחלקה בבית חולים שהוא רופא מומחה למחלות ריאה או רופא מומחה בקרדיולוגיה או רופא מומחה בטיפול נמרץ כללי או רופא מומחה בכירורגית כלי דם או רופא מומחה בקרדיולוגית ילדים או רופא מומחה במחלות ריאה ילדים או רופא מומחה בטיפול נמרץ ילדים או רופא מומחה בראומטולוגיה. 3 המשך הטיפול בתרופה האמורה ייעשה על פי מרשם של רופא מומחה למחלות ריאה או רופא מומחה בקרדיולוגיה או רופא מומחה בטיפול נמרץ כללי או רופא מומחה בכירורגית כלי דם או רופא מומחה בקרדיולוגית ילדים או רופא מומחה במחלות ריאה ילדים או רופא מומחה בטיפול נמרץ ילדים או רופא מומחה בראומטולוגיה.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4. ניתן להתחיל טיפול בתרופה האמורה במקרה בו התנגודת הריאתית המחושבת תישאר גבוהה אחרי טסט פרמקולוגי וזאת כאשר החולה סובל מ-NYHA Class III ומעלה ובעל מרחק הליכה ל-6 דקות הנמוך מ-400 מטרים ב-2 בדיקות עוקבות.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5. יש להימנע משילובי תרופות אלא לטפל בכל פעם בתרופה בודדת ורק עם כשלון בטיפול בה, לעבור לטיפול בתרופה אחרת, למעט המצבים הבאים: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א.  בכישלון של טיפול ב-Sildenafil ניתן להוסיף במקרים נבחרים Iloprost באינהלציה או Bosentan או Ambrisentan או Macitentan.</w:t>
            </w:r>
          </w:p>
          <w:p>
            <w:pPr>
              <w:bidi/>
              <w:spacing w:after="20"/>
              <w:jc w:val="right"/>
            </w:pPr>
            <w:r>
              <w:rPr>
                <w:rFonts w:ascii="Arial" w:cs="Arial" w:eastAsia="Arial" w:hAnsi="Arial"/>
                <w:sz w:val="17"/>
                <w:szCs w:val="17"/>
                <w:rtl/>
                <w:lang w:val="he-IL" w:bidi="he-IL"/>
              </w:rPr>
              <w:t xml:space="preserve">ב.  בכישלון של טיפול ב-Bosentan  או  Ambrisentan או Macitentan  ניתן להוסיף במקרים נבחרים Iloprost באינהלציה או Sildenafilג.  השילוב של Epoprostenol או Treprostinil עם Ambrisentan או Macitentan או Bosentan או Sildenafil יעשה רק לאחר כשלון של אחד מהפרוסטציקלינים האמורים כטיפול בודד.</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Treprostinil (Remodulin) ת"ע/תוך-ורידי; Epoprostenol (Flolan/Veletri) תוך-ורידי</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REMODULIN 10 MG/ML</w:t>
            </w:r>
          </w:p>
          <w:p>
            <w:pPr>
              <w:bidi/>
              <w:spacing w:after="20"/>
              <w:jc w:val="right"/>
            </w:pPr>
            <w:r>
              <w:rPr>
                <w:rFonts w:ascii="Arial" w:cs="Arial" w:eastAsia="Arial" w:hAnsi="Arial"/>
                <w:sz w:val="17"/>
                <w:szCs w:val="17"/>
                <w:rtl/>
                <w:lang w:val="he-IL" w:bidi="he-IL"/>
              </w:rPr>
              <w:t xml:space="preserve">רישום: 135 55 31251 00</w:t>
            </w:r>
          </w:p>
          <w:p>
            <w:pPr>
              <w:bidi/>
              <w:spacing w:after="20"/>
              <w:jc w:val="right"/>
            </w:pPr>
            <w:r>
              <w:rPr>
                <w:rFonts w:ascii="Arial" w:cs="Arial" w:eastAsia="Arial" w:hAnsi="Arial"/>
                <w:sz w:val="17"/>
                <w:szCs w:val="17"/>
                <w:rtl/>
                <w:lang w:val="he-IL" w:bidi="he-IL"/>
              </w:rPr>
              <w:t xml:space="preserve">הכללה בסל: 01.04.2004</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 התרופה האמורה תינתן לטיפול בחולה המוגדר ב-NYHA (New York Heart Association) כ-Class III ומעלה הסובל מיתר לחץ דם ריאתי עורקי.</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2. התחלת הטיפול בתרופה האמורה תהיה על פי הוראתו של מנהל מחלקה בבית חולים שהוא רופא מומחה למחלות ריאה או רופא מומחה בקרדיולוגיה או רופא מומחה בטיפול נמרץ כללי או רופא מומחה בכירורגית כלי דם או רופא מומחה בקרדיולוגית ילדים או רופא מומחה במחלות ריאה ילדים או רופא מומחה בטיפול נמרץ ילדים או רופא מומחה בראומטולוגיה. 3 המשך הטיפול בתרופה האמורה ייעשה על פי מרשם של רופא מומחה למחלות ריאה או רופא מומחה בקרדיולוגיה או רופא מומחה בטיפול נמרץ כללי או רופא מומחה בכירורגית כלי דם או רופא מומחה בקרדיולוגית ילדים או רופא מומחה במחלות ריאה ילדים או רופא מומחה בטיפול נמרץ ילדים או רופא מומחה בראומטולוגיה.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4. ניתן להתחיל טיפול בתרופה האמורה במקרה בו התנגודת הריאתית המחושבת תישאר גבוהה אחרי טסט פרמקולוגי וזאת כאשר החולה סובל מ-NYHA Class III ומעלה ובעל מרחק הליכה ל-6 דקות הנמוך מ-400 מטרים ב-2 בדיקות עוקבות.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5. יש להימנע משילובי תרופות אלא לטפל בכל פעם בתרופה בודדת ורק עם כשלון בטיפול בה, לעבור לטיפול בתרופה אחרת, למעט המצבים הבאים: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א. בכשלון של טיפול ב-Sildenafil ניתן להוסיף במקרים נבחרים Iloprost באינהלציה או Bosentan.</w:t>
            </w:r>
          </w:p>
          <w:p>
            <w:pPr>
              <w:bidi/>
              <w:spacing w:after="20"/>
              <w:jc w:val="right"/>
            </w:pPr>
            <w:r>
              <w:rPr>
                <w:rFonts w:ascii="Arial" w:cs="Arial" w:eastAsia="Arial" w:hAnsi="Arial"/>
                <w:sz w:val="17"/>
                <w:szCs w:val="17"/>
                <w:rtl/>
                <w:lang w:val="he-IL" w:bidi="he-IL"/>
              </w:rPr>
              <w:t xml:space="preserve">ב. בכשלון של טיפול ב-Bosentan ניתן להוסיף במקרים נבחרים Iloprost באינהלציה או Sildenafil</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ג. השילוב של Epoprostenol או Treprostinil עם Bosentan או Sildenafil יעשה רק לאחר כשלון של אחד מהפרוסטציקלינים האמורים כטיפול בודד.</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Treprostinil (Remodulin) ת"ע/תוך-ורידי; Epoprostenol (Flolan/Veletri) תוך-ורידי</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REMODULIN 2.5 MG/ML</w:t>
            </w:r>
          </w:p>
          <w:p>
            <w:pPr>
              <w:bidi/>
              <w:spacing w:after="20"/>
              <w:jc w:val="right"/>
            </w:pPr>
            <w:r>
              <w:rPr>
                <w:rFonts w:ascii="Arial" w:cs="Arial" w:eastAsia="Arial" w:hAnsi="Arial"/>
                <w:sz w:val="17"/>
                <w:szCs w:val="17"/>
                <w:rtl/>
                <w:lang w:val="he-IL" w:bidi="he-IL"/>
              </w:rPr>
              <w:t xml:space="preserve">רישום: 126 57 30563 00</w:t>
            </w:r>
          </w:p>
          <w:p>
            <w:pPr>
              <w:bidi/>
              <w:spacing w:after="20"/>
              <w:jc w:val="right"/>
            </w:pPr>
            <w:r>
              <w:rPr>
                <w:rFonts w:ascii="Arial" w:cs="Arial" w:eastAsia="Arial" w:hAnsi="Arial"/>
                <w:sz w:val="17"/>
                <w:szCs w:val="17"/>
                <w:rtl/>
                <w:lang w:val="he-IL" w:bidi="he-IL"/>
              </w:rPr>
              <w:t xml:space="preserve">הכללה בסל: 01.04.2004</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  התרופה האמורה תינתן לטיפול בחולה המוגדר ב-NYHA (New York Heart Association) כ-Class III ומעלה הסובל מיתר לחץ דם ריאתי עורקי.</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התחלת הטיפול בתרופה האמורה תהיה על פי הוראתו של מנהל מחלקה בבית חולים שהוא רופא מומחה למחלות ריאה או רופא מומחה בקרדיולוגיה או רופא מומחה בטיפול נמרץ כללי או רופא מומחה בכירורגית כלי דם או רופא מומחה בקרדיולוגית ילדים או רופא מומחה במחלות ריאה ילדים או רופא מומחה בטיפול נמרץ ילדים או רופא מומחה בראומטולוגיה.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ג.  המשך הטיפול בתרופה האמורה ייעשה על פי מרשם של רופא מומחה למחלות ריאה או רופא מומחה בקרדיולוגיה או רופא מומחה בטיפול נמרץ כללי או רופא מומחה בכירורגית כלי דם או רופא מומחה בקרדיולוגית ילדים או רופא מומחה במחלות ריאה ילדים או רופא מומחה בטיפול נמרץ ילדים או רופא מומחה בראומטולוגיה.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ד.  ניתן להתחיל טיפול בתרופה האמורה במקרה בו התנגודת הריאתית המחושבת תישאר גבוהה אחרי טסט פרמקולוגי וזאת כאשר החולה סובל מ-NYHA Class III ומעלה ובעל מרחק הליכה ל-6 דקות הנמוך מ-400 מטרים ב-2 בדיקות עוקבות.</w:t>
            </w:r>
          </w:p>
          <w:p>
            <w:pPr>
              <w:bidi/>
              <w:spacing w:after="20"/>
              <w:jc w:val="right"/>
            </w:pPr>
            <w:r>
              <w:rPr>
                <w:rFonts w:ascii="Arial" w:cs="Arial" w:eastAsia="Arial" w:hAnsi="Arial"/>
                <w:sz w:val="17"/>
                <w:szCs w:val="17"/>
                <w:rtl/>
                <w:lang w:val="he-IL" w:bidi="he-IL"/>
              </w:rPr>
              <w:t xml:space="preserve">ה.  יש להימנע משילובי תרופות אלא לטפל בכל פעם בתרופה בודדת ורק עם כישלון בטיפול בה, לעבור לטיפול בתרופה אחרת, למעט המצבים הבאים: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1.  בכישלון של טיפול ב-Sildenafil ניתן להוסיף במקרים נבחרים Iloprost באינהלציה או Bosentan או Ambrisentan או Macitentan.</w:t>
            </w:r>
          </w:p>
          <w:p>
            <w:pPr>
              <w:bidi/>
              <w:spacing w:after="20"/>
              <w:jc w:val="right"/>
            </w:pPr>
            <w:r>
              <w:rPr>
                <w:rFonts w:ascii="Arial" w:cs="Arial" w:eastAsia="Arial" w:hAnsi="Arial"/>
                <w:sz w:val="17"/>
                <w:szCs w:val="17"/>
                <w:rtl/>
                <w:lang w:val="he-IL" w:bidi="he-IL"/>
              </w:rPr>
              <w:t xml:space="preserve">2.  בכישלון של טיפול ב-Bosentan  או  Ambrisentan או Macitentan  ניתן להוסיף במקרים נבחרים Iloprost באינהלציה או Sildenafil3.  השילוב של Epoprostenol או Treprostinil עם Ambrisentan או Macitentan או Bosentan או Sildenafil יעשה רק לאחר כשלון של אחד מהפרוסטציקלינים האמורים כטיפול בודד.</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Tyvaso (Treprostinil לאינהלציה)</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TYVASO</w:t>
            </w:r>
          </w:p>
          <w:p>
            <w:pPr>
              <w:bidi/>
              <w:spacing w:after="20"/>
              <w:jc w:val="right"/>
            </w:pPr>
            <w:r>
              <w:rPr>
                <w:rFonts w:ascii="Arial" w:cs="Arial" w:eastAsia="Arial" w:hAnsi="Arial"/>
                <w:sz w:val="17"/>
                <w:szCs w:val="17"/>
                <w:rtl/>
                <w:lang w:val="he-IL" w:bidi="he-IL"/>
              </w:rPr>
              <w:t xml:space="preserve">רישום: 144 71 33077 00</w:t>
            </w:r>
          </w:p>
          <w:p>
            <w:pPr>
              <w:bidi/>
              <w:spacing w:after="20"/>
              <w:jc w:val="right"/>
            </w:pPr>
            <w:r>
              <w:rPr>
                <w:rFonts w:ascii="Arial" w:cs="Arial" w:eastAsia="Arial" w:hAnsi="Arial"/>
                <w:sz w:val="17"/>
                <w:szCs w:val="17"/>
                <w:rtl/>
                <w:lang w:val="he-IL" w:bidi="he-IL"/>
              </w:rPr>
              <w:t xml:space="preserve">הכללה בסל: 01.04.2004</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התרופה האמורה תינתן לטיפול מקרים האלה:</w:t>
            </w:r>
          </w:p>
          <w:p>
            <w:pPr>
              <w:bidi/>
              <w:spacing w:after="20"/>
              <w:jc w:val="right"/>
            </w:pPr>
            <w:r>
              <w:rPr>
                <w:rFonts w:ascii="Arial" w:cs="Arial" w:eastAsia="Arial" w:hAnsi="Arial"/>
                <w:sz w:val="17"/>
                <w:szCs w:val="17"/>
                <w:rtl/>
                <w:lang w:val="he-IL" w:bidi="he-IL"/>
              </w:rPr>
              <w:t xml:space="preserve">1. חולה המוגדר ב-NYHA (New York Heart Association) כ-Class III ומעלה הסובל מיתר לחץ דם ריאתי עורקי. התחלת הטיפול בתרופה האמורה תהיה על פי הוראתו של מנהל מחלקה בבית חולים שהוא רופא מומחה למחלות ריאה או רופא מומחה בקרדיולוגיה או רופא מומחה בטיפול נמרץ כללי או רופא מומחה בכירורגית כלי דם או רופא מומחה בקרדיולוגית ילדים או רופא מומחה במחלות ריאה ילדים או רופא מומחה בטיפול נמרץ ילדים או רופא מומחה בראומטולוגיה. המשך הטיפול בתרופה האמורה ייעשה על פי מרשם של רופא מומחה למחלות ריאה או רופא מומחה בקרדיולוגיה או רופא מומחה בטיפול נמרץ כללי או רופא מומחה בכירורגית כלי דם או רופא מומחה בקרדיולוגית ילדים או רופא מומחה במחלות ריאה ילדים או רופא מומחה בטיפול נמרץ ילדים או רופא מומחה בראומטולוגיה. ניתן להתחיל טיפול בתרופה האמורה במקרה בו התנגודת הריאתית המחושבת תישאר גבוהה אחרי טסט פרמקולוגי וזאת כאשר החולה סובל מ-NYHA Class III ומעלה ובעל מרחק הליכה ל-6 דקות הנמוך מ-400 מטרים ב-2 בדיקות עוקבות.יש להימנע משילובי תרופות אלא לטפל בכל פעם בתרופה בודדת ורק עם כישלון בטיפול בה, לעבור לטיפול בתרופה אחרת, למעט המצבים הבאים: בכישלון של טיפול ב-Sildenafil ניתן להוסיף במקרים נבחרים Iloprost באינהלציה או Bosentan או Ambrisentan או Macitentan.בכישלון של טיפול ב-Bosentan  או  Ambrisentan או Macitentan  ניתן להוסיף במקרים נבחרים Iloprost באינהלציה או Sildenafilהשילוב של Epoprostenol או Treprostinil עם Ambrisentan או Macitentan או Bosentan או Sildenafil יעשה רק לאחר כשלון של אחד מהפרוסטציקלינים האמורים כטיפול בודד.2.יתר לחץ דם ריאתי משני למחלת ריאה אינטרסטיציאלית (PH-ILD, WHO group 3). התחלת הטיפול בתרופה תיעשה לפי מרשם של רופא מומחה ברפואת ריאות.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Winrevair (Sotatercept)</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WINREVAIR 45 MG</w:t>
            </w:r>
          </w:p>
          <w:p>
            <w:pPr>
              <w:bidi/>
              <w:spacing w:after="20"/>
              <w:jc w:val="right"/>
            </w:pPr>
            <w:r>
              <w:rPr>
                <w:rFonts w:ascii="Arial" w:cs="Arial" w:eastAsia="Arial" w:hAnsi="Arial"/>
                <w:sz w:val="17"/>
                <w:szCs w:val="17"/>
                <w:rtl/>
                <w:lang w:val="he-IL" w:bidi="he-IL"/>
              </w:rPr>
              <w:t xml:space="preserve">רישום: 179 20 38120 00</w:t>
            </w:r>
          </w:p>
          <w:p>
            <w:pPr>
              <w:bidi/>
              <w:spacing w:after="20"/>
              <w:jc w:val="right"/>
            </w:pPr>
            <w:r>
              <w:rPr>
                <w:rFonts w:ascii="Arial" w:cs="Arial" w:eastAsia="Arial" w:hAnsi="Arial"/>
                <w:sz w:val="17"/>
                <w:szCs w:val="17"/>
                <w:rtl/>
                <w:lang w:val="he-IL" w:bidi="he-IL"/>
              </w:rPr>
              <w:t xml:space="preserve">הכללה בסל: 19.02.2025</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א. התכשיר יינתן לטיפול  ביתר לחץ דם ריאתי עורקי (PAH, WHO group 1), בשילוב עם טיפולים אחרים בחולים מבוגרים עם דרגה תפקודית לפי ארגון הבריאות העולמי II ומעלה (WHO Functional class) שעונים על אחד מאלה:</w:t>
            </w:r>
          </w:p>
          <w:p>
            <w:pPr>
              <w:bidi/>
              <w:spacing w:after="20"/>
              <w:jc w:val="right"/>
            </w:pPr>
            <w:r>
              <w:rPr>
                <w:rFonts w:ascii="Arial" w:cs="Arial" w:eastAsia="Arial" w:hAnsi="Arial"/>
                <w:sz w:val="17"/>
                <w:szCs w:val="17"/>
                <w:rtl/>
                <w:lang w:val="he-IL" w:bidi="he-IL"/>
              </w:rPr>
              <w:t xml:space="preserve">1. בסיכון גבוה, תחת טיפול משולש שכלל פרוסטציקלין במתן תוך ורידי.</w:t>
            </w:r>
          </w:p>
          <w:p>
            <w:pPr>
              <w:bidi/>
              <w:spacing w:after="20"/>
              <w:jc w:val="right"/>
            </w:pPr>
            <w:r>
              <w:rPr>
                <w:rFonts w:ascii="Arial" w:cs="Arial" w:eastAsia="Arial" w:hAnsi="Arial"/>
                <w:sz w:val="17"/>
                <w:szCs w:val="17"/>
                <w:rtl/>
                <w:lang w:val="he-IL" w:bidi="he-IL"/>
              </w:rPr>
              <w:t xml:space="preserve">2. בסיכון בינוני-גבוה, אשר למרות טיפול בשילוב של לפחות שתי קבוצות טיפוליות חווים החמרה במצבם.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הטיפול בתרופה האמורה ייעשה על פי מרשם של רופא מומחה למחלות ריאה או רופא מומחה בקרדיולוגיה או רופא מומחה בטיפול נמרץ כללי או רופא מומחה בכירורגית כלי דם או רופא מומחה בראומטולוגיה.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Colistimethate sodium (Coliracin) לאינהלציה</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COLIRACIN</w:t>
            </w:r>
          </w:p>
          <w:p>
            <w:pPr>
              <w:bidi/>
              <w:spacing w:after="20"/>
              <w:jc w:val="right"/>
            </w:pPr>
            <w:r>
              <w:rPr>
                <w:rFonts w:ascii="Arial" w:cs="Arial" w:eastAsia="Arial" w:hAnsi="Arial"/>
                <w:sz w:val="17"/>
                <w:szCs w:val="17"/>
                <w:rtl/>
                <w:lang w:val="he-IL" w:bidi="he-IL"/>
              </w:rPr>
              <w:t xml:space="preserve">רישום: 119 27 22678 11</w:t>
            </w:r>
          </w:p>
          <w:p>
            <w:pPr>
              <w:bidi/>
              <w:spacing w:after="20"/>
              <w:jc w:val="right"/>
            </w:pPr>
            <w:r>
              <w:rPr>
                <w:rFonts w:ascii="Arial" w:cs="Arial" w:eastAsia="Arial" w:hAnsi="Arial"/>
                <w:sz w:val="17"/>
                <w:szCs w:val="17"/>
                <w:rtl/>
                <w:lang w:val="he-IL" w:bidi="he-IL"/>
              </w:rPr>
              <w:t xml:space="preserve">הכללה בסל: 21.01.2016</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1. טיפול מניעתי באינהלציה בזיהומים בחולי PCD (Primary ciliary (dyskinesia עם קולוניזציה של Psuedomonas aeruginosa.</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2. טיפול מניעתי באינהלציה בחולים הסובלים מברונכיאקטזות שאינן על רקע לייפת כיסתית (CF) שחוו לפחות שתי החרפות של ברונכיאקטזיות שהצריכו טיפול אנטיביוטי בשנה האחרונה, והם בעלי תרבית חיובית ל- Psuedomonas aeruginosa לאחר טיפול ארדיקציה באנטיביוטיקה סיסטמית נגד חיידק זה.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מתן התרופה ייעשה לפי מרשם של מומחה ברפואת ריאות או רפואת ריאות ילדים או מחלות זיהומיות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Champix (Varenicline 0.5/1 mg)</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CHAMPIX 0.5 MG</w:t>
            </w:r>
          </w:p>
          <w:p>
            <w:pPr>
              <w:bidi/>
              <w:spacing w:after="20"/>
              <w:jc w:val="right"/>
            </w:pPr>
            <w:r>
              <w:rPr>
                <w:rFonts w:ascii="Arial" w:cs="Arial" w:eastAsia="Arial" w:hAnsi="Arial"/>
                <w:sz w:val="17"/>
                <w:szCs w:val="17"/>
                <w:rtl/>
                <w:lang w:val="he-IL" w:bidi="he-IL"/>
              </w:rPr>
              <w:t xml:space="preserve">רישום: 137 66 31510 00</w:t>
            </w:r>
          </w:p>
          <w:p>
            <w:pPr>
              <w:bidi/>
              <w:spacing w:after="20"/>
              <w:jc w:val="right"/>
            </w:pPr>
            <w:r>
              <w:rPr>
                <w:rFonts w:ascii="Arial" w:cs="Arial" w:eastAsia="Arial" w:hAnsi="Arial"/>
                <w:sz w:val="17"/>
                <w:szCs w:val="17"/>
                <w:rtl/>
                <w:lang w:val="he-IL" w:bidi="he-IL"/>
              </w:rPr>
              <w:t xml:space="preserve">הכללה בסל: 03.01.2010</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התרופה תינתן לטיפול גמילה מעישון הניתן במקביל לליווי באמצעים תומכים או במקביל להתערבות תמיכתית מלווה.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Zyban (Bupropion SR 150 mg)</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ZYBAN</w:t>
            </w:r>
          </w:p>
          <w:p>
            <w:pPr>
              <w:bidi/>
              <w:spacing w:after="20"/>
              <w:jc w:val="right"/>
            </w:pPr>
            <w:r>
              <w:rPr>
                <w:rFonts w:ascii="Arial" w:cs="Arial" w:eastAsia="Arial" w:hAnsi="Arial"/>
                <w:sz w:val="17"/>
                <w:szCs w:val="17"/>
                <w:rtl/>
                <w:lang w:val="he-IL" w:bidi="he-IL"/>
              </w:rPr>
              <w:t xml:space="preserve">רישום: 118 33 29919 00</w:t>
            </w:r>
          </w:p>
          <w:p>
            <w:pPr>
              <w:bidi/>
              <w:spacing w:after="20"/>
              <w:jc w:val="right"/>
            </w:pPr>
            <w:r>
              <w:rPr>
                <w:rFonts w:ascii="Arial" w:cs="Arial" w:eastAsia="Arial" w:hAnsi="Arial"/>
                <w:sz w:val="17"/>
                <w:szCs w:val="17"/>
                <w:rtl/>
                <w:lang w:val="he-IL" w:bidi="he-IL"/>
              </w:rPr>
              <w:t xml:space="preserve">הכללה בסל: 03.01.2010</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התרופה תינתן לטיפול גמילה מעישון הניתן במקביל לליווי באמצעים תומכים או במקביל להתערבות תמיכתית מלווה.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Nicotinell TTS (מדבקות 10/20/30)</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NICOTINELL 14mg / 24h patch</w:t>
            </w:r>
          </w:p>
          <w:p>
            <w:pPr>
              <w:bidi/>
              <w:spacing w:after="20"/>
              <w:jc w:val="right"/>
            </w:pPr>
            <w:r>
              <w:rPr>
                <w:rFonts w:ascii="Arial" w:cs="Arial" w:eastAsia="Arial" w:hAnsi="Arial"/>
                <w:sz w:val="17"/>
                <w:szCs w:val="17"/>
                <w:rtl/>
                <w:lang w:val="he-IL" w:bidi="he-IL"/>
              </w:rPr>
              <w:t xml:space="preserve">רישום: 057 22 26983 02</w:t>
            </w:r>
          </w:p>
          <w:p>
            <w:pPr>
              <w:bidi/>
              <w:spacing w:after="20"/>
              <w:jc w:val="right"/>
            </w:pPr>
            <w:r>
              <w:rPr>
                <w:rFonts w:ascii="Arial" w:cs="Arial" w:eastAsia="Arial" w:hAnsi="Arial"/>
                <w:sz w:val="17"/>
                <w:szCs w:val="17"/>
                <w:rtl/>
                <w:lang w:val="he-IL" w:bidi="he-IL"/>
              </w:rPr>
              <w:t xml:space="preserve">הכללה בסל: 01.01.1995</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התרופה האמורה תינתן לטיפול  גמילה מעישון הניתן במקביל לליווי באמצעים תומכים או במקביל להתערבות תמיכתית מלווה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שאושרה לשימוש כללי בקופ'חתרופה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Nicotinell gum 2 mg</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NICOTINELL GUM 2 MG (FRUIT)</w:t>
            </w:r>
          </w:p>
          <w:p>
            <w:pPr>
              <w:bidi/>
              <w:spacing w:after="20"/>
              <w:jc w:val="right"/>
            </w:pPr>
            <w:r>
              <w:rPr>
                <w:rFonts w:ascii="Arial" w:cs="Arial" w:eastAsia="Arial" w:hAnsi="Arial"/>
                <w:sz w:val="17"/>
                <w:szCs w:val="17"/>
                <w:rtl/>
                <w:lang w:val="he-IL" w:bidi="he-IL"/>
              </w:rPr>
              <w:t xml:space="preserve">רישום: 115 78 29638 21</w:t>
            </w:r>
          </w:p>
          <w:p>
            <w:pPr>
              <w:bidi/>
              <w:spacing w:after="20"/>
              <w:jc w:val="right"/>
            </w:pPr>
            <w:r>
              <w:rPr>
                <w:rFonts w:ascii="Arial" w:cs="Arial" w:eastAsia="Arial" w:hAnsi="Arial"/>
                <w:sz w:val="17"/>
                <w:szCs w:val="17"/>
                <w:rtl/>
                <w:lang w:val="he-IL" w:bidi="he-IL"/>
              </w:rPr>
              <w:t xml:space="preserve">הכללה בסל: 01.01.1995</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התרופה האמורה תינתן לטיפול  גמילה מעישון הניתן במקביל לליווי באמצעים תומכים או במקביל להתערבות תמיכתית מלווה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שאושרה לשימוש כללי בקופ'חתרופה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Nicotinell lozenges 1 mg</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NICOTINELL LOZENGES 1 MG</w:t>
            </w:r>
          </w:p>
          <w:p>
            <w:pPr>
              <w:bidi/>
              <w:spacing w:after="20"/>
              <w:jc w:val="right"/>
            </w:pPr>
            <w:r>
              <w:rPr>
                <w:rFonts w:ascii="Arial" w:cs="Arial" w:eastAsia="Arial" w:hAnsi="Arial"/>
                <w:sz w:val="17"/>
                <w:szCs w:val="17"/>
                <w:rtl/>
                <w:lang w:val="he-IL" w:bidi="he-IL"/>
              </w:rPr>
              <w:t xml:space="preserve">רישום: 136 54 31154 01</w:t>
            </w:r>
          </w:p>
          <w:p>
            <w:pPr>
              <w:bidi/>
              <w:spacing w:after="20"/>
              <w:jc w:val="right"/>
            </w:pPr>
            <w:r>
              <w:rPr>
                <w:rFonts w:ascii="Arial" w:cs="Arial" w:eastAsia="Arial" w:hAnsi="Arial"/>
                <w:sz w:val="17"/>
                <w:szCs w:val="17"/>
                <w:rtl/>
                <w:lang w:val="he-IL" w:bidi="he-IL"/>
              </w:rPr>
              <w:t xml:space="preserve">הכללה בסל: 01.01.1995</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התרופה האמורה תינתן לטיפול  גמילה מעישון הניתן במקביל לליווי באמצעים תומכים או במקביל להתערבות תמיכתית מלווה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שאושרה לשימוש כללי בקופ'חתרופה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פנאומוקוק (Prevenar 20, Pneumovax 23, Prevenar 13; Vaxneuvance, Capvaxive)</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PREVENAR 13</w:t>
            </w:r>
          </w:p>
          <w:p>
            <w:pPr>
              <w:bidi/>
              <w:spacing w:after="20"/>
              <w:jc w:val="right"/>
            </w:pPr>
            <w:r>
              <w:rPr>
                <w:rFonts w:ascii="Arial" w:cs="Arial" w:eastAsia="Arial" w:hAnsi="Arial"/>
                <w:sz w:val="17"/>
                <w:szCs w:val="17"/>
                <w:rtl/>
                <w:lang w:val="he-IL" w:bidi="he-IL"/>
              </w:rPr>
              <w:t xml:space="preserve">רישום: 143 54 33058 00</w:t>
            </w:r>
          </w:p>
          <w:p>
            <w:pPr>
              <w:bidi/>
              <w:spacing w:after="20"/>
              <w:jc w:val="right"/>
            </w:pPr>
            <w:r>
              <w:rPr>
                <w:rFonts w:ascii="Arial" w:cs="Arial" w:eastAsia="Arial" w:hAnsi="Arial"/>
                <w:sz w:val="17"/>
                <w:szCs w:val="17"/>
                <w:rtl/>
                <w:lang w:val="he-IL" w:bidi="he-IL"/>
              </w:rPr>
              <w:t xml:space="preserve">הכללה בסל: 15.05.2006</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התרופה תינתן לילדים החל מגיל 8 שבועות ועד לגיל 59 חודשים, אשר משתייכים לקבוצות הסיכון האלה: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1. הפרעות בפעילות הטחול (אנטומיות או תפקודיות), כגון כריתת טחול, חוסר טחול מולד, אנמיה חרמשית (SCD) וכדומה.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2. ליקויים אימונולוגיים עקב:</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א. מחלות ממאירות, כגון לוקמיה ולימפומה.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ב. טיפול מדכא חסינות (כגון הקרנות, חומרים ציטוטוקסיים).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ג. זיהום  HIV.</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ד.  כל מצב רפואי אחר, המלווה בליקויים של מערכת החיסון.</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3. השתלת איברים, שתל קוכליארי ומח עצם.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4. דליפות נוזל חוט שדרה עם סיכון לדלקת עוצבה חוזרת.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5. אי ספיקת כליות כרונית, תסמונת נפרוטית, טיפול בדיאליזה.</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6. חולי Ataxia Telangiectasia.</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פנאומוקוק (Prevenar 20, Pneumovax 23, Prevenar 13; Vaxneuvance, Capvaxive)</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PREVENAR 20</w:t>
            </w:r>
          </w:p>
          <w:p>
            <w:pPr>
              <w:bidi/>
              <w:spacing w:after="20"/>
              <w:jc w:val="right"/>
            </w:pPr>
            <w:r>
              <w:rPr>
                <w:rFonts w:ascii="Arial" w:cs="Arial" w:eastAsia="Arial" w:hAnsi="Arial"/>
                <w:sz w:val="17"/>
                <w:szCs w:val="17"/>
                <w:rtl/>
                <w:lang w:val="he-IL" w:bidi="he-IL"/>
              </w:rPr>
              <w:t xml:space="preserve">רישום: 172 68 37443 00</w:t>
            </w:r>
          </w:p>
          <w:p>
            <w:pPr>
              <w:bidi/>
              <w:spacing w:after="20"/>
              <w:jc w:val="right"/>
            </w:pPr>
            <w:r>
              <w:rPr>
                <w:rFonts w:ascii="Arial" w:cs="Arial" w:eastAsia="Arial" w:hAnsi="Arial"/>
                <w:sz w:val="17"/>
                <w:szCs w:val="17"/>
                <w:rtl/>
                <w:lang w:val="he-IL" w:bidi="he-IL"/>
              </w:rPr>
              <w:t xml:space="preserve">הכללה בסל: 01.02.2023</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התכשיר יינתן לחיסון כנגד סטרפטוקוקוס פנאומוניה במבוגרים בני 65 שנים ומעלה אשר לא עונים על הגדרות קבוצת סיכון גבוה במיוחד למחלה פנאומוקוקלית בתדריך החיסונים של משרד הבריאות.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הרפס זוסטר (Shingrix)</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SHINGRIX</w:t>
            </w:r>
          </w:p>
          <w:p>
            <w:pPr>
              <w:bidi/>
              <w:spacing w:after="20"/>
              <w:jc w:val="right"/>
            </w:pPr>
            <w:r>
              <w:rPr>
                <w:rFonts w:ascii="Arial" w:cs="Arial" w:eastAsia="Arial" w:hAnsi="Arial"/>
                <w:sz w:val="17"/>
                <w:szCs w:val="17"/>
                <w:rtl/>
                <w:lang w:val="he-IL" w:bidi="he-IL"/>
              </w:rPr>
              <w:t xml:space="preserve">רישום: 171 33 37389 00</w:t>
            </w:r>
          </w:p>
          <w:p>
            <w:pPr>
              <w:bidi/>
              <w:spacing w:after="20"/>
              <w:jc w:val="right"/>
            </w:pPr>
            <w:r>
              <w:rPr>
                <w:rFonts w:ascii="Arial" w:cs="Arial" w:eastAsia="Arial" w:hAnsi="Arial"/>
                <w:sz w:val="17"/>
                <w:szCs w:val="17"/>
                <w:rtl/>
                <w:lang w:val="he-IL" w:bidi="he-IL"/>
              </w:rPr>
              <w:t xml:space="preserve">הכללה בסל: 01.07.2023</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התכשיר יינתן למניעת הרפס זוסטר ונוירלגיה פוסט הרפטית במבוגרים העונים על אחד מאלה:</w:t>
            </w:r>
          </w:p>
          <w:p>
            <w:pPr>
              <w:bidi/>
              <w:spacing w:after="20"/>
              <w:jc w:val="right"/>
            </w:pPr>
            <w:r>
              <w:rPr>
                <w:rFonts w:ascii="Arial" w:cs="Arial" w:eastAsia="Arial" w:hAnsi="Arial"/>
                <w:sz w:val="17"/>
                <w:szCs w:val="17"/>
                <w:rtl/>
                <w:lang w:val="he-IL" w:bidi="he-IL"/>
              </w:rPr>
              <w:t xml:space="preserve">א. בני 65 שנים ומעלה;</w:t>
            </w:r>
          </w:p>
          <w:p>
            <w:pPr>
              <w:bidi/>
              <w:spacing w:after="20"/>
              <w:jc w:val="right"/>
            </w:pPr>
            <w:r>
              <w:rPr>
                <w:rFonts w:ascii="Arial" w:cs="Arial" w:eastAsia="Arial" w:hAnsi="Arial"/>
                <w:sz w:val="17"/>
                <w:szCs w:val="17"/>
                <w:rtl/>
                <w:lang w:val="he-IL" w:bidi="he-IL"/>
              </w:rPr>
              <w:t xml:space="preserve">ב. בני 18 שנים ומעלה עם סיכון מוגבר להרפס זוסטר.לעניין זה סיכון מוגבר יוגדר בחולה עם דיכוי של מערכת החיסון אשר עונה בנוסף על אחד מאלה:</w:t>
            </w:r>
          </w:p>
          <w:p>
            <w:pPr>
              <w:bidi/>
              <w:spacing w:after="20"/>
              <w:jc w:val="right"/>
            </w:pPr>
            <w:r>
              <w:rPr>
                <w:rFonts w:ascii="Arial" w:cs="Arial" w:eastAsia="Arial" w:hAnsi="Arial"/>
                <w:sz w:val="17"/>
                <w:szCs w:val="17"/>
                <w:rtl/>
                <w:lang w:val="he-IL" w:bidi="he-IL"/>
              </w:rPr>
              <w:t xml:space="preserve">1. עבר השתלת תאי גזע;</w:t>
            </w:r>
          </w:p>
          <w:p>
            <w:pPr>
              <w:bidi/>
              <w:spacing w:after="20"/>
              <w:jc w:val="right"/>
            </w:pPr>
            <w:r>
              <w:rPr>
                <w:rFonts w:ascii="Arial" w:cs="Arial" w:eastAsia="Arial" w:hAnsi="Arial"/>
                <w:sz w:val="17"/>
                <w:szCs w:val="17"/>
                <w:rtl/>
                <w:lang w:val="he-IL" w:bidi="he-IL"/>
              </w:rPr>
              <w:t xml:space="preserve">2. עבר השתלת איבר סולידי;</w:t>
            </w:r>
          </w:p>
          <w:p>
            <w:pPr>
              <w:bidi/>
              <w:spacing w:after="20"/>
              <w:jc w:val="right"/>
            </w:pPr>
            <w:r>
              <w:rPr>
                <w:rFonts w:ascii="Arial" w:cs="Arial" w:eastAsia="Arial" w:hAnsi="Arial"/>
                <w:sz w:val="17"/>
                <w:szCs w:val="17"/>
                <w:rtl/>
                <w:lang w:val="he-IL" w:bidi="he-IL"/>
              </w:rPr>
              <w:t xml:space="preserve">3.  נשא HIV;</w:t>
            </w:r>
          </w:p>
          <w:p>
            <w:pPr>
              <w:bidi/>
              <w:spacing w:after="20"/>
              <w:jc w:val="right"/>
            </w:pPr>
            <w:r>
              <w:rPr>
                <w:rFonts w:ascii="Arial" w:cs="Arial" w:eastAsia="Arial" w:hAnsi="Arial"/>
                <w:sz w:val="17"/>
                <w:szCs w:val="17"/>
                <w:rtl/>
                <w:lang w:val="he-IL" w:bidi="he-IL"/>
              </w:rPr>
              <w:t xml:space="preserve">4. ממאירות סולידית פעילה לפני ואחרי טיפול כימותרפי;</w:t>
            </w:r>
          </w:p>
          <w:p>
            <w:pPr>
              <w:bidi/>
              <w:spacing w:after="20"/>
              <w:jc w:val="right"/>
            </w:pPr>
            <w:r>
              <w:rPr>
                <w:rFonts w:ascii="Arial" w:cs="Arial" w:eastAsia="Arial" w:hAnsi="Arial"/>
                <w:sz w:val="17"/>
                <w:szCs w:val="17"/>
                <w:rtl/>
                <w:lang w:val="he-IL" w:bidi="he-IL"/>
              </w:rPr>
              <w:t xml:space="preserve">5. ממאירות המטולוגית פעילה.</w:t>
            </w:r>
          </w:p>
          <w:p>
            <w:pPr>
              <w:bidi/>
              <w:spacing w:after="20"/>
              <w:jc w:val="right"/>
            </w:pPr>
            <w:r>
              <w:rPr>
                <w:rFonts w:ascii="Arial" w:cs="Arial" w:eastAsia="Arial" w:hAnsi="Arial"/>
                <w:sz w:val="17"/>
                <w:szCs w:val="17"/>
                <w:rtl/>
                <w:lang w:val="he-IL" w:bidi="he-IL"/>
              </w:rPr>
              <w:t xml:space="preserve">6. מטופל בתרופה המדכאת את מערכת החיסון. במקרה זה הזכאות תהיה עד חצי שנה מסיום הטיפול. לעניין זה תוגדר תרופה המדכאת את מערכת החיסון כאחת מאלה:</w:t>
            </w:r>
          </w:p>
          <w:p>
            <w:pPr>
              <w:bidi/>
              <w:spacing w:after="20"/>
              <w:jc w:val="right"/>
            </w:pPr>
            <w:r>
              <w:rPr>
                <w:rFonts w:ascii="Arial" w:cs="Arial" w:eastAsia="Arial" w:hAnsi="Arial"/>
                <w:sz w:val="17"/>
                <w:szCs w:val="17"/>
                <w:rtl/>
                <w:lang w:val="he-IL" w:bidi="he-IL"/>
              </w:rPr>
              <w:t xml:space="preserve">א. סטרואידים בטיפול קבוע במינון יומי העולה על 20 מ"ג ליום;</w:t>
            </w:r>
          </w:p>
          <w:p>
            <w:pPr>
              <w:bidi/>
              <w:spacing w:after="20"/>
              <w:jc w:val="right"/>
            </w:pPr>
            <w:r>
              <w:rPr>
                <w:rFonts w:ascii="Arial" w:cs="Arial" w:eastAsia="Arial" w:hAnsi="Arial"/>
                <w:sz w:val="17"/>
                <w:szCs w:val="17"/>
                <w:rtl/>
                <w:lang w:val="he-IL" w:bidi="he-IL"/>
              </w:rPr>
              <w:t xml:space="preserve">ב. DMARDs) Disease modifiying antirheumatic drugs) כגון מתוטרקסט, פלקווניל, הידרוקסיכלורקווין, סולפהסלזין, אזאתיופרין ודומיהם;</w:t>
            </w:r>
          </w:p>
          <w:p>
            <w:pPr>
              <w:bidi/>
              <w:spacing w:after="20"/>
              <w:jc w:val="right"/>
            </w:pPr>
            <w:r>
              <w:rPr>
                <w:rFonts w:ascii="Arial" w:cs="Arial" w:eastAsia="Arial" w:hAnsi="Arial"/>
                <w:sz w:val="17"/>
                <w:szCs w:val="17"/>
                <w:rtl/>
                <w:lang w:val="he-IL" w:bidi="he-IL"/>
              </w:rPr>
              <w:t xml:space="preserve">ג. מעכבי TNF-alpha;</w:t>
            </w:r>
          </w:p>
          <w:p>
            <w:pPr>
              <w:bidi/>
              <w:spacing w:after="20"/>
              <w:jc w:val="right"/>
            </w:pPr>
            <w:r>
              <w:rPr>
                <w:rFonts w:ascii="Arial" w:cs="Arial" w:eastAsia="Arial" w:hAnsi="Arial"/>
                <w:sz w:val="17"/>
                <w:szCs w:val="17"/>
                <w:rtl/>
                <w:lang w:val="he-IL" w:bidi="he-IL"/>
              </w:rPr>
              <w:t xml:space="preserve">ד. תרופות ביולוגיות;</w:t>
            </w:r>
          </w:p>
          <w:p>
            <w:pPr>
              <w:bidi/>
              <w:spacing w:after="20"/>
              <w:jc w:val="right"/>
            </w:pPr>
            <w:r>
              <w:rPr>
                <w:rFonts w:ascii="Arial" w:cs="Arial" w:eastAsia="Arial" w:hAnsi="Arial"/>
                <w:sz w:val="17"/>
                <w:szCs w:val="17"/>
                <w:rtl/>
                <w:lang w:val="he-IL" w:bidi="he-IL"/>
              </w:rPr>
              <w:t xml:space="preserve">ה. כימותרפיה;</w:t>
            </w:r>
          </w:p>
          <w:p>
            <w:pPr>
              <w:bidi/>
              <w:spacing w:after="20"/>
              <w:jc w:val="right"/>
            </w:pPr>
            <w:r>
              <w:rPr>
                <w:rFonts w:ascii="Arial" w:cs="Arial" w:eastAsia="Arial" w:hAnsi="Arial"/>
                <w:sz w:val="17"/>
                <w:szCs w:val="17"/>
                <w:rtl/>
                <w:lang w:val="he-IL" w:bidi="he-IL"/>
              </w:rPr>
              <w:t xml:space="preserve">ו. תרופות כנגד תאי B, כגון anti CD20 (ריתוקסימאב ודומיהם);</w:t>
            </w:r>
          </w:p>
          <w:p>
            <w:pPr>
              <w:bidi/>
              <w:spacing w:after="20"/>
              <w:jc w:val="right"/>
            </w:pPr>
            <w:r>
              <w:rPr>
                <w:rFonts w:ascii="Arial" w:cs="Arial" w:eastAsia="Arial" w:hAnsi="Arial"/>
                <w:sz w:val="17"/>
                <w:szCs w:val="17"/>
                <w:rtl/>
                <w:lang w:val="he-IL" w:bidi="he-IL"/>
              </w:rPr>
              <w:t xml:space="preserve">ז. טיפול CAR-T (chimeric antigen receptor T cell);</w:t>
            </w:r>
          </w:p>
          <w:p>
            <w:pPr>
              <w:bidi/>
              <w:spacing w:after="20"/>
              <w:jc w:val="right"/>
            </w:pPr>
            <w:r>
              <w:rPr>
                <w:rFonts w:ascii="Arial" w:cs="Arial" w:eastAsia="Arial" w:hAnsi="Arial"/>
                <w:sz w:val="17"/>
                <w:szCs w:val="17"/>
                <w:rtl/>
                <w:lang w:val="he-IL" w:bidi="he-IL"/>
              </w:rPr>
              <w:t xml:space="preserve">7. מצב חסר חיסוני אחר, על פי ייעוץ רופא מומחה במחלות זיהומיות או רופא אחר המומחה בתחום.</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r>
        <w:trPr>
          <w:cantSplit/>
        </w:trPr>
        <w:tc>
          <w:tcPr>
            <w:tcW w:type="dxa" w:w="26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שעלת (Tdap: Boostrix, Adacel)</w:t>
            </w:r>
          </w:p>
        </w:tc>
        <w:tc>
          <w:tcPr>
            <w:tcW w:type="dxa" w:w="2400"/>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BOOSTRIX</w:t>
            </w:r>
          </w:p>
          <w:p>
            <w:pPr>
              <w:bidi/>
              <w:spacing w:after="20"/>
              <w:jc w:val="right"/>
            </w:pPr>
            <w:r>
              <w:rPr>
                <w:rFonts w:ascii="Arial" w:cs="Arial" w:eastAsia="Arial" w:hAnsi="Arial"/>
                <w:sz w:val="17"/>
                <w:szCs w:val="17"/>
                <w:rtl/>
                <w:lang w:val="he-IL" w:bidi="he-IL"/>
              </w:rPr>
              <w:t xml:space="preserve">רישום: 121 34 30059 00</w:t>
            </w:r>
          </w:p>
          <w:p>
            <w:pPr>
              <w:bidi/>
              <w:spacing w:after="20"/>
              <w:jc w:val="right"/>
            </w:pPr>
            <w:r>
              <w:rPr>
                <w:rFonts w:ascii="Arial" w:cs="Arial" w:eastAsia="Arial" w:hAnsi="Arial"/>
                <w:sz w:val="17"/>
                <w:szCs w:val="17"/>
                <w:rtl/>
                <w:lang w:val="he-IL" w:bidi="he-IL"/>
              </w:rPr>
              <w:t xml:space="preserve">הכללה בסל: 15.01.2015</w:t>
            </w:r>
          </w:p>
        </w:tc>
        <w:tc>
          <w:tcPr>
            <w:tcW w:type="dxa" w:w="9998"/>
            <w:tcBorders>
              <w:top w:val="single" w:color="A6A6A6" w:sz="4"/>
              <w:left w:val="single" w:color="A6A6A6" w:sz="4"/>
              <w:bottom w:val="single" w:color="A6A6A6" w:sz="4"/>
              <w:right w:val="single" w:color="A6A6A6" w:sz="4"/>
            </w:tcBorders>
            <w:tcMar>
              <w:top w:type="dxa" w:w="50"/>
              <w:left w:type="dxa" w:w="80"/>
              <w:bottom w:type="dxa" w:w="50"/>
              <w:right w:type="dxa" w:w="80"/>
            </w:tcMar>
          </w:tcPr>
          <w:p>
            <w:pPr>
              <w:bidi/>
              <w:spacing w:after="20"/>
              <w:jc w:val="right"/>
            </w:pPr>
            <w:r>
              <w:rPr>
                <w:rFonts w:ascii="Arial" w:cs="Arial" w:eastAsia="Arial" w:hAnsi="Arial"/>
                <w:sz w:val="17"/>
                <w:szCs w:val="17"/>
                <w:rtl/>
                <w:lang w:val="he-IL" w:bidi="he-IL"/>
              </w:rPr>
              <w:t xml:space="preserve">החיסון יינתן כנגד שעלת בנשים הרות</w:t>
            </w:r>
          </w:p>
          <w:p>
            <w:pPr>
              <w:bidi/>
              <w:spacing w:after="20"/>
              <w:jc w:val="right"/>
            </w:pPr>
            <w:r>
              <w:rPr>
                <w:rFonts w:ascii="Arial" w:cs="Arial" w:eastAsia="Arial" w:hAnsi="Arial"/>
                <w:sz w:val="17"/>
                <w:szCs w:val="17"/>
                <w:rtl/>
                <w:lang w:val="he-IL" w:bidi="he-IL"/>
              </w:rPr>
              <w:t xml:space="preserve"/>
            </w:r>
          </w:p>
          <w:p>
            <w:pPr>
              <w:bidi/>
              <w:spacing w:after="20"/>
              <w:jc w:val="right"/>
            </w:pPr>
            <w:r>
              <w:rPr>
                <w:rFonts w:ascii="Arial" w:cs="Arial" w:eastAsia="Arial" w:hAnsi="Arial"/>
                <w:sz w:val="17"/>
                <w:szCs w:val="17"/>
                <w:rtl/>
                <w:lang w:val="he-IL" w:bidi="he-IL"/>
              </w:rPr>
              <w:t xml:space="preserve">הגבלת מרשם: תרופה מוגבלת לרישום ע'י רופא מומחה או הגבלה אחרת</w:t>
            </w:r>
          </w:p>
        </w:tc>
      </w:tr>
    </w:tbl>
    <w:p>
      <w:pPr>
        <w:pStyle w:val="Heading2"/>
        <w:bidi/>
        <w:spacing w:after="60" w:before="240"/>
        <w:jc w:val="right"/>
      </w:pPr>
      <w:r>
        <w:rPr>
          <w:rFonts w:ascii="Arial" w:cs="Arial" w:eastAsia="Arial" w:hAnsi="Arial"/>
          <w:b/>
          <w:bCs/>
          <w:sz w:val="24"/>
          <w:szCs w:val="24"/>
          <w:rtl/>
          <w:lang w:val="he-IL" w:bidi="he-IL"/>
        </w:rPr>
        <w:t xml:space="preserve">הערות ונהלים</w:t>
      </w:r>
    </w:p>
    <w:p>
      <w:pPr>
        <w:bidi/>
        <w:spacing w:after="20"/>
        <w:jc w:val="right"/>
      </w:pPr>
      <w:r>
        <w:rPr>
          <w:rFonts w:ascii="Arial" w:cs="Arial" w:eastAsia="Arial" w:hAnsi="Arial"/>
          <w:sz w:val="16"/>
          <w:szCs w:val="16"/>
          <w:rtl/>
          <w:lang w:val="he-IL" w:bidi="he-IL"/>
        </w:rPr>
        <w:t xml:space="preserve">• טופס 29ג מוסדי: מתן MMF בהתוויית ILD מחייב טופס 29ג מוסדי. במאגר התרופות MMF אינו בסל ל-ILD (סעיפי הסל: נפריטיס לופוס והשתלות), כך שהשימוש הוא מחוץ להתוויה ולסל. במחירון 29ג (30.12.25) מופיעים CellCept לעירוי ותרחיף דרך הפה.</w:t>
      </w:r>
    </w:p>
    <w:p>
      <w:pPr>
        <w:bidi/>
        <w:spacing w:after="20"/>
        <w:jc w:val="right"/>
      </w:pPr>
      <w:r>
        <w:rPr>
          <w:rFonts w:ascii="Arial" w:cs="Arial" w:eastAsia="Arial" w:hAnsi="Arial"/>
          <w:sz w:val="16"/>
          <w:szCs w:val="16"/>
          <w:rtl/>
          <w:lang w:val="he-IL" w:bidi="he-IL"/>
        </w:rPr>
        <w:t xml:space="preserve">• Azathioprine ו-Methotrexate בהתוויית ILD הם גם שימוש מחוץ להתוויה הרשומה.</w:t>
      </w:r>
    </w:p>
    <w:p>
      <w:pPr>
        <w:bidi/>
        <w:spacing w:after="20"/>
        <w:jc w:val="right"/>
      </w:pPr>
      <w:r>
        <w:rPr>
          <w:rFonts w:ascii="Arial" w:cs="Arial" w:eastAsia="Arial" w:hAnsi="Arial"/>
          <w:sz w:val="16"/>
          <w:szCs w:val="16"/>
          <w:rtl/>
          <w:lang w:val="he-IL" w:bidi="he-IL"/>
        </w:rPr>
        <w:t xml:space="preserve">• מקורות עיקריים: מאגר התרופות של משרד הבריאות (registries.health.gov.il); מחירוני משרד הבריאות: מרשם 30.06.26, 29ג 30.12.25, ללא מרשם (2025); ERS 2021 לסרקואידוזיס (נספח ד).</w:t>
      </w:r>
    </w:p>
    <w:sectPr>
      <w:pgSz w:w="16838" w:h="11906" w:orient="landscape"/>
      <w:pgMar w:top="720" w:right="720" w:bottom="720" w:left="72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7"/>
        <w:szCs w:val="17"/>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2026-10-22T08:42:07.699Z</dcterms:created>
  <dcterms:modified xsi:type="dcterms:W3CDTF">2026-10-22T08:42:07.699Z</dcterms:modified>
</cp:coreProperties>
</file>

<file path=docProps/custom.xml><?xml version="1.0" encoding="utf-8"?>
<Properties xmlns="http://schemas.openxmlformats.org/officeDocument/2006/custom-properties" xmlns:vt="http://schemas.openxmlformats.org/officeDocument/2006/docPropsVTypes"/>
</file>